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7B3" w:rsidRDefault="005807B3" w:rsidP="00885F46">
      <w:pPr>
        <w:contextualSpacing/>
        <w:jc w:val="center"/>
        <w:rPr>
          <w:b/>
          <w:sz w:val="36"/>
          <w:szCs w:val="36"/>
        </w:rPr>
      </w:pPr>
      <w:r>
        <w:rPr>
          <w:b/>
          <w:sz w:val="36"/>
          <w:szCs w:val="36"/>
        </w:rPr>
        <w:t>Why Austerity is the Wrong Answer to Debt</w:t>
      </w:r>
    </w:p>
    <w:p w:rsidR="00885F46" w:rsidRPr="00CC1A52" w:rsidRDefault="00885F46" w:rsidP="00885F46">
      <w:pPr>
        <w:contextualSpacing/>
        <w:jc w:val="center"/>
        <w:rPr>
          <w:b/>
          <w:sz w:val="36"/>
          <w:szCs w:val="36"/>
        </w:rPr>
      </w:pPr>
    </w:p>
    <w:p w:rsidR="00BD5496" w:rsidRDefault="00BD5496" w:rsidP="00885F46">
      <w:pPr>
        <w:contextualSpacing/>
        <w:jc w:val="center"/>
        <w:rPr>
          <w:b/>
          <w:sz w:val="36"/>
          <w:szCs w:val="36"/>
        </w:rPr>
      </w:pPr>
      <w:r w:rsidRPr="00CC1A52">
        <w:rPr>
          <w:b/>
          <w:sz w:val="36"/>
          <w:szCs w:val="36"/>
        </w:rPr>
        <w:t>A Call for a New Paradigm</w:t>
      </w:r>
    </w:p>
    <w:p w:rsidR="00052EE7" w:rsidRDefault="00052EE7" w:rsidP="00885F46">
      <w:pPr>
        <w:contextualSpacing/>
        <w:jc w:val="center"/>
        <w:rPr>
          <w:b/>
          <w:sz w:val="36"/>
          <w:szCs w:val="36"/>
        </w:rPr>
      </w:pPr>
    </w:p>
    <w:p w:rsidR="00052EE7" w:rsidRPr="00052EE7" w:rsidRDefault="00052EE7" w:rsidP="00052EE7">
      <w:pPr>
        <w:contextualSpacing/>
        <w:jc w:val="both"/>
        <w:rPr>
          <w:i/>
          <w:sz w:val="28"/>
          <w:szCs w:val="28"/>
        </w:rPr>
      </w:pPr>
      <w:r w:rsidRPr="00052EE7">
        <w:rPr>
          <w:i/>
          <w:sz w:val="28"/>
          <w:szCs w:val="28"/>
        </w:rPr>
        <w:t xml:space="preserve">The </w:t>
      </w:r>
      <w:proofErr w:type="spellStart"/>
      <w:r w:rsidRPr="00052EE7">
        <w:rPr>
          <w:i/>
          <w:sz w:val="28"/>
          <w:szCs w:val="28"/>
        </w:rPr>
        <w:t>delinkage</w:t>
      </w:r>
      <w:proofErr w:type="spellEnd"/>
      <w:r w:rsidRPr="00052EE7">
        <w:rPr>
          <w:i/>
          <w:sz w:val="28"/>
          <w:szCs w:val="28"/>
        </w:rPr>
        <w:t xml:space="preserve"> of productivity and real wages is the </w:t>
      </w:r>
      <w:r>
        <w:rPr>
          <w:i/>
          <w:sz w:val="28"/>
          <w:szCs w:val="28"/>
        </w:rPr>
        <w:t xml:space="preserve">underlying </w:t>
      </w:r>
      <w:r w:rsidRPr="00052EE7">
        <w:rPr>
          <w:i/>
          <w:sz w:val="28"/>
          <w:szCs w:val="28"/>
        </w:rPr>
        <w:t>cause of the economic crisis. As a result of this delinking, consumer income has lagged output GDP, and the gap has been funded by consumer credit</w:t>
      </w:r>
      <w:r>
        <w:rPr>
          <w:i/>
          <w:sz w:val="28"/>
          <w:szCs w:val="28"/>
        </w:rPr>
        <w:t xml:space="preserve"> and increased debt financed welfare payments. This</w:t>
      </w:r>
      <w:r w:rsidRPr="00052EE7">
        <w:rPr>
          <w:i/>
          <w:sz w:val="28"/>
          <w:szCs w:val="28"/>
        </w:rPr>
        <w:t xml:space="preserve"> proved unsustainable</w:t>
      </w:r>
      <w:r>
        <w:rPr>
          <w:i/>
          <w:sz w:val="28"/>
          <w:szCs w:val="28"/>
        </w:rPr>
        <w:t>,</w:t>
      </w:r>
      <w:r w:rsidRPr="00052EE7">
        <w:rPr>
          <w:i/>
          <w:sz w:val="28"/>
          <w:szCs w:val="28"/>
        </w:rPr>
        <w:t xml:space="preserve"> and so led to the coalition’s current </w:t>
      </w:r>
      <w:r w:rsidR="00FA66B7">
        <w:rPr>
          <w:i/>
          <w:sz w:val="28"/>
          <w:szCs w:val="28"/>
        </w:rPr>
        <w:t xml:space="preserve">austerity policy and </w:t>
      </w:r>
      <w:r w:rsidRPr="00052EE7">
        <w:rPr>
          <w:i/>
          <w:sz w:val="28"/>
          <w:szCs w:val="28"/>
        </w:rPr>
        <w:t>GDP cuts. An alternative paradigm is needed in which the financial sector is re-engineered and financial instruments redefined to serve the real economy.</w:t>
      </w:r>
    </w:p>
    <w:p w:rsidR="00BD5496" w:rsidRPr="00052EE7" w:rsidRDefault="00BD5496" w:rsidP="00E05DF2">
      <w:pPr>
        <w:contextualSpacing/>
        <w:jc w:val="both"/>
        <w:rPr>
          <w:sz w:val="28"/>
          <w:szCs w:val="28"/>
        </w:rPr>
      </w:pPr>
    </w:p>
    <w:p w:rsidR="0090147D" w:rsidRPr="00CC1A52" w:rsidRDefault="00E05DF2" w:rsidP="00E05DF2">
      <w:pPr>
        <w:contextualSpacing/>
        <w:jc w:val="both"/>
      </w:pPr>
      <w:r w:rsidRPr="00CC1A52">
        <w:t xml:space="preserve">The debt crisis persists. In the US, the </w:t>
      </w:r>
      <w:proofErr w:type="spellStart"/>
      <w:r w:rsidRPr="00CC1A52">
        <w:t>Eurozone</w:t>
      </w:r>
      <w:proofErr w:type="spellEnd"/>
      <w:r w:rsidRPr="00CC1A52">
        <w:t xml:space="preserve">, and the UK, politicians are implementing dire austerity packages. UK debt will not now be written off in the life of this Parliament. Greece and Italy may be in the worst position, but the phenomenon deeply affects the majority of developed economies. </w:t>
      </w:r>
    </w:p>
    <w:p w:rsidR="0090147D" w:rsidRPr="00CC1A52" w:rsidRDefault="0090147D" w:rsidP="00E05DF2">
      <w:pPr>
        <w:contextualSpacing/>
        <w:jc w:val="both"/>
      </w:pPr>
    </w:p>
    <w:p w:rsidR="001B4F17" w:rsidRPr="001B4F17" w:rsidRDefault="001B4F17" w:rsidP="00E05DF2">
      <w:pPr>
        <w:contextualSpacing/>
        <w:jc w:val="both"/>
        <w:rPr>
          <w:b/>
        </w:rPr>
      </w:pPr>
      <w:r w:rsidRPr="001B4F17">
        <w:rPr>
          <w:b/>
        </w:rPr>
        <w:t>Faulty thinking</w:t>
      </w:r>
    </w:p>
    <w:p w:rsidR="001B4F17" w:rsidRDefault="001B4F17" w:rsidP="00E05DF2">
      <w:pPr>
        <w:contextualSpacing/>
        <w:jc w:val="both"/>
      </w:pPr>
    </w:p>
    <w:p w:rsidR="00BD5496" w:rsidRPr="00CC1A52" w:rsidRDefault="00E05DF2" w:rsidP="00E05DF2">
      <w:pPr>
        <w:contextualSpacing/>
        <w:jc w:val="both"/>
      </w:pPr>
      <w:r w:rsidRPr="00CC1A52">
        <w:t>How has this come about? The popular answer trotted out as the daily news mantra that governments have been reckless, bankers have been greedy, and consumers have been overspending, is too simplistic. The problem has deeper roots and causes</w:t>
      </w:r>
      <w:r w:rsidR="00A55448" w:rsidRPr="00CC1A52">
        <w:t>,</w:t>
      </w:r>
      <w:r w:rsidRPr="00CC1A52">
        <w:t xml:space="preserve"> and will continue unabated unless these are </w:t>
      </w:r>
      <w:r w:rsidR="00A55448" w:rsidRPr="00CC1A52">
        <w:t xml:space="preserve">better </w:t>
      </w:r>
      <w:r w:rsidRPr="00CC1A52">
        <w:t>understood and addressed by policy.</w:t>
      </w:r>
    </w:p>
    <w:p w:rsidR="00E05DF2" w:rsidRPr="00CC1A52" w:rsidRDefault="00E05DF2" w:rsidP="00E05DF2">
      <w:pPr>
        <w:contextualSpacing/>
        <w:jc w:val="both"/>
      </w:pPr>
    </w:p>
    <w:p w:rsidR="00A31AD6" w:rsidRPr="00CC1A52" w:rsidRDefault="0090147D" w:rsidP="00E05DF2">
      <w:pPr>
        <w:contextualSpacing/>
        <w:jc w:val="both"/>
      </w:pPr>
      <w:r w:rsidRPr="00CC1A52">
        <w:t xml:space="preserve">Current talk is entirely monetarist. </w:t>
      </w:r>
      <w:r w:rsidR="00A31AD6" w:rsidRPr="00CC1A52">
        <w:t xml:space="preserve">Economics is reduced to some sort of meta-accountancy. Keynes is derided by people who have never read him. Leading economics </w:t>
      </w:r>
      <w:r w:rsidR="005C4425" w:rsidRPr="00CC1A52">
        <w:t xml:space="preserve">media </w:t>
      </w:r>
      <w:r w:rsidR="00A31AD6" w:rsidRPr="00CC1A52">
        <w:t xml:space="preserve">commentators often have no formal economics training or degree. </w:t>
      </w:r>
      <w:r w:rsidR="00034EDC" w:rsidRPr="00CC1A52">
        <w:t xml:space="preserve">Economics degrees themselves have often been restyled as ‘economics, finance and business’ degrees. </w:t>
      </w:r>
      <w:r w:rsidRPr="00CC1A52">
        <w:t>The British Chancellor of the Exchequer tells the nation that it ‘cannot afford’ economic activity</w:t>
      </w:r>
      <w:r w:rsidR="00F71844" w:rsidRPr="00CC1A52">
        <w:t>,</w:t>
      </w:r>
      <w:r w:rsidRPr="00CC1A52">
        <w:t xml:space="preserve"> which has to be cut because we simply ‘don’t have the money’. </w:t>
      </w:r>
      <w:r w:rsidR="00A01854" w:rsidRPr="00CC1A52">
        <w:t>But the real economy is about real resources of people, skills, infrastructure, technology, land.</w:t>
      </w:r>
      <w:r w:rsidR="00BE3B2C">
        <w:t xml:space="preserve"> They are all available.</w:t>
      </w:r>
    </w:p>
    <w:p w:rsidR="00A31AD6" w:rsidRPr="00CC1A52" w:rsidRDefault="00A31AD6" w:rsidP="00E05DF2">
      <w:pPr>
        <w:contextualSpacing/>
        <w:jc w:val="both"/>
      </w:pPr>
    </w:p>
    <w:p w:rsidR="003722F4" w:rsidRPr="00CC1A52" w:rsidRDefault="00084B5B" w:rsidP="00E05DF2">
      <w:pPr>
        <w:contextualSpacing/>
        <w:jc w:val="both"/>
      </w:pPr>
      <w:r w:rsidRPr="00CC1A52">
        <w:t xml:space="preserve">Standing back for a moment, isn’t it curious that </w:t>
      </w:r>
      <w:r w:rsidR="00C62C61">
        <w:t>human societies allow the money</w:t>
      </w:r>
      <w:r w:rsidRPr="00CC1A52">
        <w:t xml:space="preserve"> they themselves create as artefact to serve the real economy, to then dictate their real economic behaviour? </w:t>
      </w:r>
      <w:r w:rsidR="00A31AD6" w:rsidRPr="00CC1A52">
        <w:t xml:space="preserve">The tail really is wagging the dog. </w:t>
      </w:r>
      <w:r w:rsidR="003223B0" w:rsidRPr="00CC1A52">
        <w:t>In the present structure, governments must raise money from the bond markets</w:t>
      </w:r>
      <w:r w:rsidR="00A31AD6" w:rsidRPr="00CC1A52">
        <w:t>,</w:t>
      </w:r>
      <w:r w:rsidR="003223B0" w:rsidRPr="00CC1A52">
        <w:t xml:space="preserve"> who insist on </w:t>
      </w:r>
      <w:r w:rsidR="000E38A3">
        <w:t xml:space="preserve">repayment at interest rates </w:t>
      </w:r>
      <w:r w:rsidR="00D80052">
        <w:t xml:space="preserve">which </w:t>
      </w:r>
      <w:r w:rsidR="000E38A3">
        <w:t>these markets</w:t>
      </w:r>
      <w:r w:rsidR="003223B0" w:rsidRPr="00CC1A52">
        <w:t xml:space="preserve"> determine according to their own level of confidence. Thus society and its governments are entirely subject to the prescriptions of bond dealers and credit rating agency speculators</w:t>
      </w:r>
      <w:r w:rsidR="000E38A3">
        <w:t>, who have no remit or capability in social leadership and management</w:t>
      </w:r>
      <w:r w:rsidR="003223B0" w:rsidRPr="00CC1A52">
        <w:t xml:space="preserve">. Curious again, that UK political comment which is so troubled about ‘handing sovereignty to Brussels’, </w:t>
      </w:r>
      <w:r w:rsidR="00630C5D" w:rsidRPr="00CC1A52">
        <w:t xml:space="preserve">and to non-elected technocrats, </w:t>
      </w:r>
      <w:r w:rsidR="003223B0" w:rsidRPr="00CC1A52">
        <w:t xml:space="preserve">is entirely supine in </w:t>
      </w:r>
      <w:r w:rsidR="003223B0" w:rsidRPr="00CC1A52">
        <w:lastRenderedPageBreak/>
        <w:t xml:space="preserve">handing </w:t>
      </w:r>
      <w:r w:rsidR="00630C5D" w:rsidRPr="00CC1A52">
        <w:t xml:space="preserve">far </w:t>
      </w:r>
      <w:r w:rsidR="003223B0" w:rsidRPr="00CC1A52">
        <w:t>greater sovereignty to bond dealers and credit rating agencies. Standard and Poor’</w:t>
      </w:r>
      <w:r w:rsidR="00630C5D" w:rsidRPr="00CC1A52">
        <w:t>s, Moody’s, and Fitch are entirely unelected and lack any democratic accountability</w:t>
      </w:r>
      <w:r w:rsidR="00A31AD6" w:rsidRPr="00CC1A52">
        <w:t>,</w:t>
      </w:r>
      <w:r w:rsidR="00630C5D" w:rsidRPr="00CC1A52">
        <w:t xml:space="preserve"> and yet are allowed to sit in easy judgment on our total economies</w:t>
      </w:r>
      <w:r w:rsidR="003A4271">
        <w:t>,</w:t>
      </w:r>
      <w:r w:rsidR="00630C5D" w:rsidRPr="00CC1A52">
        <w:t xml:space="preserve"> and to determine their prospects and scope for action. </w:t>
      </w:r>
      <w:r w:rsidR="00632F9B">
        <w:t>We can thank Mich</w:t>
      </w:r>
      <w:r w:rsidR="004D7A59" w:rsidRPr="00CC1A52">
        <w:t xml:space="preserve">el </w:t>
      </w:r>
      <w:proofErr w:type="spellStart"/>
      <w:r w:rsidR="004D7A59" w:rsidRPr="00CC1A52">
        <w:t>Barnier</w:t>
      </w:r>
      <w:proofErr w:type="spellEnd"/>
      <w:r w:rsidR="004D7A59" w:rsidRPr="00CC1A52">
        <w:t>, the EC Internal Market Commissioner, for s</w:t>
      </w:r>
      <w:r w:rsidR="00A31AD6" w:rsidRPr="00CC1A52">
        <w:t>eeking to constrain them</w:t>
      </w:r>
      <w:r w:rsidR="00525EF9">
        <w:t xml:space="preserve">. </w:t>
      </w:r>
      <w:r w:rsidR="00A31AD6" w:rsidRPr="00CC1A52">
        <w:t>He deserves our support.</w:t>
      </w:r>
    </w:p>
    <w:p w:rsidR="003223B0" w:rsidRPr="00CC1A52" w:rsidRDefault="003223B0" w:rsidP="00E05DF2">
      <w:pPr>
        <w:contextualSpacing/>
        <w:jc w:val="both"/>
      </w:pPr>
    </w:p>
    <w:p w:rsidR="001B4F17" w:rsidRPr="001B4F17" w:rsidRDefault="001B4F17" w:rsidP="00CB6C87">
      <w:pPr>
        <w:contextualSpacing/>
        <w:jc w:val="both"/>
        <w:rPr>
          <w:b/>
        </w:rPr>
      </w:pPr>
      <w:r w:rsidRPr="001B4F17">
        <w:rPr>
          <w:b/>
        </w:rPr>
        <w:t>Rethinking money</w:t>
      </w:r>
    </w:p>
    <w:p w:rsidR="001B4F17" w:rsidRDefault="001B4F17" w:rsidP="00CB6C87">
      <w:pPr>
        <w:contextualSpacing/>
        <w:jc w:val="both"/>
      </w:pPr>
    </w:p>
    <w:p w:rsidR="00CB6C87" w:rsidRPr="00CC1A52" w:rsidRDefault="003B130D" w:rsidP="00CB6C87">
      <w:pPr>
        <w:contextualSpacing/>
        <w:jc w:val="both"/>
      </w:pPr>
      <w:r w:rsidRPr="00CC1A52">
        <w:t xml:space="preserve">We need a new paradigm in which we understand money and financial agencies as servants rather than </w:t>
      </w:r>
      <w:r w:rsidR="00CB6C87" w:rsidRPr="00CC1A52">
        <w:t xml:space="preserve">as masters of the real economy. Money is virtual, not real. It does not obey the laws of thermodynamics : it can be created or destroyed. Commercial banks do this regularly. They operate lending ratios whereby they lend a multiple of the deposits lodged with them. Market economies ‘print money’ all the time </w:t>
      </w:r>
      <w:r w:rsidR="00854E89" w:rsidRPr="00CC1A52">
        <w:t xml:space="preserve">in this way </w:t>
      </w:r>
      <w:r w:rsidR="00CB6C87" w:rsidRPr="00CC1A52">
        <w:t>as a regular practice. A sustained total run on the banks would always cause them to collapse. The system is supported only by confidence. The only rule is that the amount of money in circulation has to be matched by real output</w:t>
      </w:r>
      <w:r w:rsidR="00995A25">
        <w:t>,</w:t>
      </w:r>
      <w:r w:rsidR="00CB6C87" w:rsidRPr="00CC1A52">
        <w:t xml:space="preserve"> if its value is to be maintained.</w:t>
      </w:r>
      <w:r w:rsidR="00034EDC" w:rsidRPr="00CC1A52">
        <w:t xml:space="preserve"> To allow monetary factors to determine policy for the real economy is like trying to drive a car </w:t>
      </w:r>
      <w:r w:rsidR="009F65B1">
        <w:t xml:space="preserve">by </w:t>
      </w:r>
      <w:r w:rsidR="008C5034">
        <w:t xml:space="preserve">bending </w:t>
      </w:r>
      <w:r w:rsidR="00034EDC" w:rsidRPr="00CC1A52">
        <w:t>its speedometer</w:t>
      </w:r>
      <w:r w:rsidR="008C5034">
        <w:t xml:space="preserve"> needle</w:t>
      </w:r>
      <w:r w:rsidR="00034EDC" w:rsidRPr="00CC1A52">
        <w:t xml:space="preserve">. </w:t>
      </w:r>
    </w:p>
    <w:p w:rsidR="00CB6C87" w:rsidRPr="00CC1A52" w:rsidRDefault="00CB6C87" w:rsidP="00CB6C87">
      <w:pPr>
        <w:contextualSpacing/>
        <w:jc w:val="both"/>
      </w:pPr>
    </w:p>
    <w:p w:rsidR="001B4F17" w:rsidRPr="001B4F17" w:rsidRDefault="001B4F17" w:rsidP="00E05DF2">
      <w:pPr>
        <w:contextualSpacing/>
        <w:jc w:val="both"/>
        <w:rPr>
          <w:b/>
        </w:rPr>
      </w:pPr>
      <w:r w:rsidRPr="001B4F17">
        <w:rPr>
          <w:b/>
        </w:rPr>
        <w:t>An alternative diagnostic</w:t>
      </w:r>
    </w:p>
    <w:p w:rsidR="001B4F17" w:rsidRDefault="001B4F17" w:rsidP="00E05DF2">
      <w:pPr>
        <w:contextualSpacing/>
        <w:jc w:val="both"/>
      </w:pPr>
    </w:p>
    <w:p w:rsidR="000020F9" w:rsidRDefault="00CB6C87" w:rsidP="00E05DF2">
      <w:pPr>
        <w:contextualSpacing/>
        <w:jc w:val="both"/>
      </w:pPr>
      <w:r w:rsidRPr="00CC1A52">
        <w:t xml:space="preserve">So what alternative diagnostic of the ongoing debt crisis is available? </w:t>
      </w:r>
      <w:r w:rsidR="00854E89" w:rsidRPr="00CC1A52">
        <w:t>A</w:t>
      </w:r>
      <w:r w:rsidR="00CB4DC5" w:rsidRPr="00CC1A52">
        <w:t xml:space="preserve"> thought experiment</w:t>
      </w:r>
      <w:r w:rsidR="00854E89" w:rsidRPr="00CC1A52">
        <w:t xml:space="preserve"> might help</w:t>
      </w:r>
      <w:r w:rsidR="00CB4DC5" w:rsidRPr="00CC1A52">
        <w:t>. In an imaginary totally automated economy with no workers, there would be no wages</w:t>
      </w:r>
      <w:r w:rsidR="00034EDC" w:rsidRPr="00CC1A52">
        <w:t>,</w:t>
      </w:r>
      <w:r w:rsidR="00CB4DC5" w:rsidRPr="00CC1A52">
        <w:t xml:space="preserve"> and therefore no effective </w:t>
      </w:r>
      <w:r w:rsidR="000710D1" w:rsidRPr="00CC1A52">
        <w:t xml:space="preserve">monetised </w:t>
      </w:r>
      <w:r w:rsidR="00CB4DC5" w:rsidRPr="00CC1A52">
        <w:t>demand. Goods and services</w:t>
      </w:r>
      <w:r w:rsidR="00854E89" w:rsidRPr="00CC1A52">
        <w:t xml:space="preserve"> would therefore have to be allocated </w:t>
      </w:r>
      <w:r w:rsidR="000710D1" w:rsidRPr="00CC1A52">
        <w:t xml:space="preserve">by government </w:t>
      </w:r>
      <w:r w:rsidR="00854E89" w:rsidRPr="00CC1A52">
        <w:t xml:space="preserve">to consumers by some voucher or shareholder mechanism. As Bob Crow, the RMT union leader put it in his ‘Lunch with the Financial Times’ interview in March </w:t>
      </w:r>
      <w:r w:rsidR="00E74C86">
        <w:t xml:space="preserve">last </w:t>
      </w:r>
      <w:r w:rsidR="00854E89" w:rsidRPr="00CC1A52">
        <w:t xml:space="preserve">year, ‘if you have robots build cars, how are robots going to buy them?’. </w:t>
      </w:r>
    </w:p>
    <w:p w:rsidR="000020F9" w:rsidRDefault="000020F9" w:rsidP="00E05DF2">
      <w:pPr>
        <w:contextualSpacing/>
        <w:jc w:val="both"/>
      </w:pPr>
    </w:p>
    <w:p w:rsidR="000020F9" w:rsidRDefault="000020F9" w:rsidP="00E05DF2">
      <w:pPr>
        <w:contextualSpacing/>
        <w:jc w:val="both"/>
      </w:pPr>
      <w:r>
        <w:t xml:space="preserve">A more erudite version of the same concept </w:t>
      </w:r>
      <w:r w:rsidR="00AB78DC">
        <w:t xml:space="preserve">comes from </w:t>
      </w:r>
      <w:r>
        <w:t xml:space="preserve">Professor Robert Solow, a distinguished emeritus professor at MIT and Nobel Economics Laureate, who points out that with burgeoning production from advanced technologies ‘the wage will absorb only a small fraction of all that output. The rest will be imputed to capital...the extreme case of this is the common scare about universal robots : labour is no longer needed at all. How will we then live? ....The ownership of capital will have to be democratised...(needing) some form of universal dividend...Not much thought has been given to this problem’ (in ‘Revisiting Keynes’ by </w:t>
      </w:r>
      <w:proofErr w:type="spellStart"/>
      <w:r>
        <w:t>Pecchi</w:t>
      </w:r>
      <w:proofErr w:type="spellEnd"/>
      <w:r>
        <w:t xml:space="preserve"> and </w:t>
      </w:r>
      <w:proofErr w:type="spellStart"/>
      <w:r>
        <w:t>Piga</w:t>
      </w:r>
      <w:proofErr w:type="spellEnd"/>
      <w:r>
        <w:t>, MIT Press 2010, p92).</w:t>
      </w:r>
    </w:p>
    <w:p w:rsidR="000020F9" w:rsidRDefault="000020F9" w:rsidP="00E05DF2">
      <w:pPr>
        <w:contextualSpacing/>
        <w:jc w:val="both"/>
      </w:pPr>
    </w:p>
    <w:p w:rsidR="000710D1" w:rsidRPr="00CC1A52" w:rsidRDefault="000710D1" w:rsidP="00E05DF2">
      <w:pPr>
        <w:contextualSpacing/>
        <w:jc w:val="both"/>
      </w:pPr>
      <w:r w:rsidRPr="00CC1A52">
        <w:t xml:space="preserve">In this scenario, the total voucher spend by the government would represent an unavoidable debt which would never be paid off. We are not there, but we have strong elements of this scenario in our modern technological economies. </w:t>
      </w:r>
      <w:r w:rsidR="00995A25">
        <w:t xml:space="preserve">The delinking of productivity and real wages makes debt inevitable. </w:t>
      </w:r>
    </w:p>
    <w:p w:rsidR="000710D1" w:rsidRPr="00CC1A52" w:rsidRDefault="000710D1" w:rsidP="00E05DF2">
      <w:pPr>
        <w:contextualSpacing/>
        <w:jc w:val="both"/>
      </w:pPr>
    </w:p>
    <w:p w:rsidR="00D70FC9" w:rsidRDefault="000710D1" w:rsidP="00E05DF2">
      <w:pPr>
        <w:contextualSpacing/>
        <w:jc w:val="both"/>
      </w:pPr>
      <w:r w:rsidRPr="00CC1A52">
        <w:t>A general diagnostic for technologically advanced economies then emerges that whenever productivity exceeds real wages, and if the difference is not fed through to consumer demand via increased shareholder dividends or social transfer payments, then consumer demand will be insufficient to purchase output GDP. In this situation</w:t>
      </w:r>
      <w:r w:rsidR="00995A25">
        <w:t>,</w:t>
      </w:r>
      <w:r w:rsidRPr="00CC1A52">
        <w:t xml:space="preserve"> which can and does occur, the shortfall in consumer demand can be made up by extended consumer credit </w:t>
      </w:r>
      <w:r w:rsidR="009F65B1">
        <w:t xml:space="preserve">and </w:t>
      </w:r>
      <w:r w:rsidRPr="00CC1A52">
        <w:t xml:space="preserve">welfare payments, or output </w:t>
      </w:r>
      <w:r w:rsidRPr="00CC1A52">
        <w:lastRenderedPageBreak/>
        <w:t xml:space="preserve">GDP can be cut in a recession.  </w:t>
      </w:r>
      <w:r w:rsidR="00D70FC9">
        <w:t>The diagnostic bears some resemblance to Marx’</w:t>
      </w:r>
      <w:r w:rsidR="00194D99">
        <w:t>s</w:t>
      </w:r>
      <w:r w:rsidR="00D70FC9">
        <w:t xml:space="preserve"> and Keynes’</w:t>
      </w:r>
      <w:r w:rsidR="00194D99">
        <w:t>s</w:t>
      </w:r>
      <w:r w:rsidR="00D70FC9">
        <w:t xml:space="preserve"> thinking on the implications for technology, automation and productivity on the economy, but should not be dismissed for this</w:t>
      </w:r>
      <w:r w:rsidR="009F65B1">
        <w:t xml:space="preserve"> honourable association</w:t>
      </w:r>
      <w:r w:rsidR="00D70FC9">
        <w:t>.</w:t>
      </w:r>
    </w:p>
    <w:p w:rsidR="00E0390A" w:rsidRPr="00CC1A52" w:rsidRDefault="00D70FC9" w:rsidP="00E05DF2">
      <w:pPr>
        <w:contextualSpacing/>
        <w:jc w:val="both"/>
      </w:pPr>
      <w:r w:rsidRPr="00CC1A52">
        <w:t xml:space="preserve"> </w:t>
      </w:r>
    </w:p>
    <w:p w:rsidR="001B4F17" w:rsidRPr="001B4F17" w:rsidRDefault="001B4F17" w:rsidP="00E0390A">
      <w:pPr>
        <w:contextualSpacing/>
        <w:jc w:val="both"/>
        <w:rPr>
          <w:b/>
        </w:rPr>
      </w:pPr>
      <w:r>
        <w:rPr>
          <w:b/>
        </w:rPr>
        <w:t>A recent h</w:t>
      </w:r>
      <w:r w:rsidRPr="001B4F17">
        <w:rPr>
          <w:b/>
        </w:rPr>
        <w:t>istory of the problem</w:t>
      </w:r>
    </w:p>
    <w:p w:rsidR="001B4F17" w:rsidRDefault="001B4F17" w:rsidP="00E0390A">
      <w:pPr>
        <w:contextualSpacing/>
        <w:jc w:val="both"/>
      </w:pPr>
    </w:p>
    <w:p w:rsidR="00E0390A" w:rsidRPr="00CC1A52" w:rsidRDefault="00E0390A" w:rsidP="00E0390A">
      <w:pPr>
        <w:contextualSpacing/>
        <w:jc w:val="both"/>
      </w:pPr>
      <w:r w:rsidRPr="00CC1A52">
        <w:t xml:space="preserve">2007 was the root of the present crisis. If we go back to UK economic data then, we find that between 2005 and 2007 </w:t>
      </w:r>
    </w:p>
    <w:p w:rsidR="00E0390A" w:rsidRPr="00CC1A52" w:rsidRDefault="00E0390A" w:rsidP="00E0390A">
      <w:pPr>
        <w:contextualSpacing/>
        <w:jc w:val="both"/>
      </w:pPr>
    </w:p>
    <w:p w:rsidR="00E0390A" w:rsidRPr="00CC1A52" w:rsidRDefault="00E0390A" w:rsidP="00E0390A">
      <w:pPr>
        <w:numPr>
          <w:ilvl w:val="0"/>
          <w:numId w:val="1"/>
        </w:numPr>
        <w:contextualSpacing/>
        <w:jc w:val="both"/>
      </w:pPr>
      <w:r w:rsidRPr="00CC1A52">
        <w:t>GDP and consumption continued to grow but household disposable income remained flat</w:t>
      </w:r>
    </w:p>
    <w:p w:rsidR="00E0390A" w:rsidRPr="00CC1A52" w:rsidRDefault="00E0390A" w:rsidP="00E0390A">
      <w:pPr>
        <w:numPr>
          <w:ilvl w:val="0"/>
          <w:numId w:val="1"/>
        </w:numPr>
        <w:contextualSpacing/>
        <w:jc w:val="both"/>
      </w:pPr>
      <w:r w:rsidRPr="00CC1A52">
        <w:t>in 2007 real household disposable income grew by only 0.1% whilst GDP grew by 3%</w:t>
      </w:r>
    </w:p>
    <w:p w:rsidR="00E0390A" w:rsidRPr="00CC1A52" w:rsidRDefault="00E0390A" w:rsidP="00E0390A">
      <w:pPr>
        <w:numPr>
          <w:ilvl w:val="0"/>
          <w:numId w:val="1"/>
        </w:numPr>
        <w:contextualSpacing/>
        <w:jc w:val="both"/>
      </w:pPr>
      <w:r w:rsidRPr="00CC1A52">
        <w:t>household disposable income reduced as a percentage of consumption from 78.2% to 74.7%</w:t>
      </w:r>
    </w:p>
    <w:p w:rsidR="00E0390A" w:rsidRPr="00CC1A52" w:rsidRDefault="00E0390A" w:rsidP="00E0390A">
      <w:pPr>
        <w:numPr>
          <w:ilvl w:val="0"/>
          <w:numId w:val="1"/>
        </w:numPr>
        <w:contextualSpacing/>
        <w:jc w:val="both"/>
      </w:pPr>
      <w:r w:rsidRPr="00CC1A52">
        <w:t>the gap was met by increased household credit which grew from £17bn to £55bn</w:t>
      </w:r>
    </w:p>
    <w:p w:rsidR="00E0390A" w:rsidRPr="00CC1A52" w:rsidRDefault="00E0390A" w:rsidP="00E0390A">
      <w:pPr>
        <w:contextualSpacing/>
        <w:jc w:val="both"/>
      </w:pPr>
    </w:p>
    <w:p w:rsidR="00E0390A" w:rsidRPr="00CC1A52" w:rsidRDefault="00E0390A" w:rsidP="00E0390A">
      <w:pPr>
        <w:contextualSpacing/>
        <w:jc w:val="both"/>
      </w:pPr>
      <w:r w:rsidRPr="00CC1A52">
        <w:t>This is shown in the following graphs</w:t>
      </w:r>
    </w:p>
    <w:p w:rsidR="00E0390A" w:rsidRPr="00CC1A52" w:rsidRDefault="00E0390A" w:rsidP="00E0390A">
      <w:pPr>
        <w:contextualSpacing/>
        <w:jc w:val="both"/>
      </w:pPr>
    </w:p>
    <w:p w:rsidR="00E0390A" w:rsidRPr="00CC1A52" w:rsidRDefault="00E0390A" w:rsidP="00E0390A">
      <w:pPr>
        <w:contextualSpacing/>
        <w:jc w:val="both"/>
      </w:pPr>
      <w:r w:rsidRPr="00CC1A52">
        <w:rPr>
          <w:noProof/>
        </w:rPr>
        <w:drawing>
          <wp:inline distT="0" distB="0" distL="0" distR="0">
            <wp:extent cx="4572762" cy="2746629"/>
            <wp:effectExtent l="19050" t="0" r="18288"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E0390A" w:rsidRPr="00CC1A52" w:rsidRDefault="00E0390A" w:rsidP="00E0390A">
      <w:pPr>
        <w:contextualSpacing/>
        <w:jc w:val="both"/>
      </w:pPr>
      <w:r w:rsidRPr="00CC1A52">
        <w:rPr>
          <w:noProof/>
        </w:rPr>
        <w:drawing>
          <wp:inline distT="0" distB="0" distL="0" distR="0">
            <wp:extent cx="4572762" cy="2746629"/>
            <wp:effectExtent l="19050" t="0" r="18288"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0390A" w:rsidRPr="00CC1A52" w:rsidRDefault="00E0390A" w:rsidP="00E0390A">
      <w:pPr>
        <w:contextualSpacing/>
        <w:jc w:val="both"/>
      </w:pPr>
    </w:p>
    <w:p w:rsidR="00E0390A" w:rsidRPr="00CC1A52" w:rsidRDefault="00E0390A" w:rsidP="00E0390A">
      <w:pPr>
        <w:contextualSpacing/>
        <w:jc w:val="both"/>
      </w:pPr>
      <w:r w:rsidRPr="00CC1A52">
        <w:t xml:space="preserve">The </w:t>
      </w:r>
      <w:r w:rsidR="0074467A" w:rsidRPr="00CC1A52">
        <w:t xml:space="preserve">familiar </w:t>
      </w:r>
      <w:r w:rsidRPr="00CC1A52">
        <w:t>dramatic increase in household credit is less apparent in the scale of the above GDP diagrams but is evident when graphed alone in the following diagram</w:t>
      </w:r>
    </w:p>
    <w:p w:rsidR="00E0390A" w:rsidRPr="00CC1A52" w:rsidRDefault="00E0390A" w:rsidP="00E0390A">
      <w:pPr>
        <w:contextualSpacing/>
        <w:jc w:val="both"/>
      </w:pPr>
    </w:p>
    <w:p w:rsidR="00E0390A" w:rsidRPr="00CC1A52" w:rsidRDefault="00E0390A" w:rsidP="00E0390A">
      <w:pPr>
        <w:contextualSpacing/>
        <w:jc w:val="both"/>
        <w:rPr>
          <w:b/>
        </w:rPr>
      </w:pPr>
      <w:r w:rsidRPr="00CC1A52">
        <w:rPr>
          <w:noProof/>
        </w:rPr>
        <w:drawing>
          <wp:inline distT="0" distB="0" distL="0" distR="0">
            <wp:extent cx="4572762" cy="2746629"/>
            <wp:effectExtent l="19050" t="0" r="18288" b="0"/>
            <wp:docPr id="4"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0390A" w:rsidRPr="00CC1A52" w:rsidRDefault="00E0390A" w:rsidP="00E0390A">
      <w:pPr>
        <w:contextualSpacing/>
        <w:jc w:val="both"/>
        <w:rPr>
          <w:b/>
        </w:rPr>
      </w:pPr>
    </w:p>
    <w:p w:rsidR="00E0390A" w:rsidRPr="00CC1A52" w:rsidRDefault="00E0390A" w:rsidP="00E0390A">
      <w:pPr>
        <w:contextualSpacing/>
        <w:jc w:val="both"/>
        <w:rPr>
          <w:b/>
        </w:rPr>
      </w:pPr>
    </w:p>
    <w:p w:rsidR="00E0390A" w:rsidRPr="00CC1A52" w:rsidRDefault="00E0390A" w:rsidP="00E0390A">
      <w:pPr>
        <w:contextualSpacing/>
        <w:jc w:val="both"/>
      </w:pPr>
      <w:r w:rsidRPr="00CC1A52">
        <w:t xml:space="preserve">£55bn new consumer debt annually became essential to fund the purchase of </w:t>
      </w:r>
      <w:r w:rsidR="0074467A" w:rsidRPr="00CC1A52">
        <w:t xml:space="preserve">output </w:t>
      </w:r>
      <w:r w:rsidRPr="00CC1A52">
        <w:t xml:space="preserve">GDP.  Without it GDP would have fallen due to decreased effective demand, and employment, wages and income would then have fallen as a consequence.  </w:t>
      </w:r>
    </w:p>
    <w:p w:rsidR="00E0390A" w:rsidRPr="00CC1A52" w:rsidRDefault="00E0390A" w:rsidP="00E0390A">
      <w:pPr>
        <w:contextualSpacing/>
        <w:jc w:val="both"/>
      </w:pPr>
    </w:p>
    <w:p w:rsidR="001B4F17" w:rsidRPr="001B4F17" w:rsidRDefault="001B4F17" w:rsidP="00E0390A">
      <w:pPr>
        <w:contextualSpacing/>
        <w:jc w:val="both"/>
        <w:rPr>
          <w:b/>
        </w:rPr>
      </w:pPr>
      <w:r w:rsidRPr="001B4F17">
        <w:rPr>
          <w:b/>
        </w:rPr>
        <w:t>Vicious circles</w:t>
      </w:r>
    </w:p>
    <w:p w:rsidR="001B4F17" w:rsidRDefault="001B4F17" w:rsidP="00E0390A">
      <w:pPr>
        <w:contextualSpacing/>
        <w:jc w:val="both"/>
      </w:pPr>
    </w:p>
    <w:p w:rsidR="006A6CA4" w:rsidRPr="00CC1A52" w:rsidRDefault="00E0390A" w:rsidP="00E0390A">
      <w:pPr>
        <w:contextualSpacing/>
        <w:jc w:val="both"/>
      </w:pPr>
      <w:r w:rsidRPr="00CC1A52">
        <w:t xml:space="preserve">The current </w:t>
      </w:r>
      <w:r w:rsidR="00A4333A">
        <w:t xml:space="preserve">system faces </w:t>
      </w:r>
      <w:r w:rsidRPr="00CC1A52">
        <w:t>tw</w:t>
      </w:r>
      <w:r w:rsidR="006A6CA4" w:rsidRPr="00CC1A52">
        <w:t>o alternative vicious circles, either</w:t>
      </w:r>
      <w:r w:rsidR="00995A25">
        <w:t xml:space="preserve"> that</w:t>
      </w:r>
    </w:p>
    <w:p w:rsidR="006A6CA4" w:rsidRPr="00CC1A52" w:rsidRDefault="006A6CA4" w:rsidP="00E0390A">
      <w:pPr>
        <w:contextualSpacing/>
        <w:jc w:val="both"/>
      </w:pPr>
    </w:p>
    <w:p w:rsidR="006A6CA4" w:rsidRPr="00CC1A52" w:rsidRDefault="006A6CA4" w:rsidP="00E0390A">
      <w:pPr>
        <w:contextualSpacing/>
        <w:jc w:val="both"/>
      </w:pPr>
      <w:r w:rsidRPr="00CC1A52">
        <w:t xml:space="preserve">1 </w:t>
      </w:r>
      <w:r w:rsidR="00E0390A" w:rsidRPr="00CC1A52">
        <w:t>increased productivity reduces the wage and household income element of GDP and this demand drop leads to a GDP recession</w:t>
      </w:r>
    </w:p>
    <w:p w:rsidR="006A6CA4" w:rsidRPr="00CC1A52" w:rsidRDefault="006A6CA4" w:rsidP="00E0390A">
      <w:pPr>
        <w:contextualSpacing/>
        <w:jc w:val="both"/>
      </w:pPr>
      <w:r w:rsidRPr="00CC1A52">
        <w:t>or</w:t>
      </w:r>
    </w:p>
    <w:p w:rsidR="006A6CA4" w:rsidRPr="00CC1A52" w:rsidRDefault="006A6CA4" w:rsidP="00E0390A">
      <w:pPr>
        <w:contextualSpacing/>
        <w:jc w:val="both"/>
      </w:pPr>
      <w:r w:rsidRPr="00CC1A52">
        <w:t xml:space="preserve">2 </w:t>
      </w:r>
      <w:r w:rsidR="00E0390A" w:rsidRPr="00CC1A52">
        <w:t xml:space="preserve">the demand gap is filled by increased </w:t>
      </w:r>
      <w:r w:rsidR="0074467A" w:rsidRPr="00CC1A52">
        <w:t xml:space="preserve">consumer </w:t>
      </w:r>
      <w:r w:rsidR="00E0390A" w:rsidRPr="00CC1A52">
        <w:t xml:space="preserve">credit </w:t>
      </w:r>
      <w:r w:rsidR="0074467A" w:rsidRPr="00CC1A52">
        <w:t xml:space="preserve">and government debt to fund welfare payments, </w:t>
      </w:r>
      <w:r w:rsidR="00E0390A" w:rsidRPr="00CC1A52">
        <w:t xml:space="preserve">which becomes un-repayable </w:t>
      </w:r>
      <w:r w:rsidR="0074467A" w:rsidRPr="00CC1A52">
        <w:t xml:space="preserve">in the </w:t>
      </w:r>
      <w:r w:rsidR="00E0390A" w:rsidRPr="00CC1A52">
        <w:t xml:space="preserve">next period. </w:t>
      </w:r>
    </w:p>
    <w:p w:rsidR="001B4F17" w:rsidRDefault="001B4F17" w:rsidP="00E0390A">
      <w:pPr>
        <w:contextualSpacing/>
        <w:jc w:val="both"/>
      </w:pPr>
    </w:p>
    <w:p w:rsidR="00E0390A" w:rsidRPr="00CC1A52" w:rsidRDefault="006A6CA4" w:rsidP="00E0390A">
      <w:pPr>
        <w:contextualSpacing/>
        <w:jc w:val="both"/>
      </w:pPr>
      <w:r w:rsidRPr="00CC1A52">
        <w:t>Neither is sustainable and leads to banks reducing consumer credit</w:t>
      </w:r>
      <w:r w:rsidR="00E2525B">
        <w:t>,</w:t>
      </w:r>
      <w:r w:rsidRPr="00CC1A52">
        <w:t xml:space="preserve"> and government cutting the real economy in the mistaken belief that this will eliminate its deficit.</w:t>
      </w:r>
      <w:r w:rsidR="00995A25">
        <w:t xml:space="preserve"> This is where we are now, and without a radical rethink, we will be chasing our tails for ever in the doomed attempt to write off deficits from an ever shrinking GDP. </w:t>
      </w:r>
      <w:r w:rsidR="001C30CE">
        <w:t xml:space="preserve">Those who call for increased government expenditure </w:t>
      </w:r>
      <w:r w:rsidR="00A25DCD">
        <w:t xml:space="preserve">under a Plan B </w:t>
      </w:r>
      <w:r w:rsidR="001C30CE">
        <w:t>to raise GDP</w:t>
      </w:r>
      <w:r w:rsidR="00D4420D">
        <w:t>,</w:t>
      </w:r>
      <w:r w:rsidR="001C30CE">
        <w:t xml:space="preserve"> which would then raise the tax take and reduce welfare payments and hence reduce the deficit</w:t>
      </w:r>
      <w:r w:rsidR="00D4420D">
        <w:t>,</w:t>
      </w:r>
      <w:r w:rsidR="001C30CE">
        <w:t xml:space="preserve"> are derided by their critics who ask how it can be possible to incur debt to reduce debt. But the coalition’s </w:t>
      </w:r>
      <w:r w:rsidR="00A25DCD">
        <w:t xml:space="preserve">Plan A </w:t>
      </w:r>
      <w:r w:rsidR="001C30CE">
        <w:t xml:space="preserve">insistence on cutting the economy to reduce the deficit </w:t>
      </w:r>
      <w:r w:rsidR="00D4420D">
        <w:t xml:space="preserve">has </w:t>
      </w:r>
      <w:r w:rsidR="001C30CE">
        <w:t>to explain how GDP can be increased by cutting GDP.</w:t>
      </w:r>
    </w:p>
    <w:p w:rsidR="006A6CA4" w:rsidRPr="00CC1A52" w:rsidRDefault="006A6CA4" w:rsidP="00E0390A">
      <w:pPr>
        <w:contextualSpacing/>
        <w:jc w:val="both"/>
      </w:pPr>
    </w:p>
    <w:p w:rsidR="003335FA" w:rsidRDefault="003335FA" w:rsidP="00E0390A">
      <w:pPr>
        <w:contextualSpacing/>
        <w:jc w:val="both"/>
        <w:rPr>
          <w:b/>
        </w:rPr>
      </w:pPr>
    </w:p>
    <w:p w:rsidR="003335FA" w:rsidRDefault="003335FA" w:rsidP="00E0390A">
      <w:pPr>
        <w:contextualSpacing/>
        <w:jc w:val="both"/>
        <w:rPr>
          <w:b/>
        </w:rPr>
      </w:pPr>
    </w:p>
    <w:p w:rsidR="001B4F17" w:rsidRPr="001B4F17" w:rsidRDefault="001B4F17" w:rsidP="00E0390A">
      <w:pPr>
        <w:contextualSpacing/>
        <w:jc w:val="both"/>
        <w:rPr>
          <w:b/>
        </w:rPr>
      </w:pPr>
      <w:r w:rsidRPr="001B4F17">
        <w:rPr>
          <w:b/>
        </w:rPr>
        <w:lastRenderedPageBreak/>
        <w:t>New thinking</w:t>
      </w:r>
    </w:p>
    <w:p w:rsidR="001B4F17" w:rsidRDefault="001B4F17" w:rsidP="00E0390A">
      <w:pPr>
        <w:contextualSpacing/>
        <w:jc w:val="both"/>
      </w:pPr>
    </w:p>
    <w:p w:rsidR="00E0390A" w:rsidRPr="00CC1A52" w:rsidRDefault="00A01854" w:rsidP="00E0390A">
      <w:pPr>
        <w:contextualSpacing/>
        <w:jc w:val="both"/>
      </w:pPr>
      <w:r w:rsidRPr="00CC1A52">
        <w:t xml:space="preserve">An alternative paradigm is needed to frame an alternative policy. There is nothing wrong with the real economy. Its factories, transport and communications infrastructure, skilled labour, restaurants etc are all fully operational and highly efficient. There is also plenty of real demand for goods and services, especially globally from developing country consumers. It is purely the financial system which </w:t>
      </w:r>
      <w:r w:rsidR="00D4420D">
        <w:t xml:space="preserve">is disabling </w:t>
      </w:r>
      <w:r w:rsidRPr="00CC1A52">
        <w:t xml:space="preserve">the real economy, and it is the financial sector which </w:t>
      </w:r>
      <w:r w:rsidR="00D4420D">
        <w:t xml:space="preserve">therefore </w:t>
      </w:r>
      <w:r w:rsidRPr="00CC1A52">
        <w:t>urgently needs re-engineering.</w:t>
      </w:r>
    </w:p>
    <w:p w:rsidR="00A01854" w:rsidRPr="00CC1A52" w:rsidRDefault="00A01854" w:rsidP="00E0390A">
      <w:pPr>
        <w:contextualSpacing/>
        <w:jc w:val="both"/>
      </w:pPr>
    </w:p>
    <w:p w:rsidR="00A01854" w:rsidRDefault="00E2525B" w:rsidP="00E0390A">
      <w:pPr>
        <w:contextualSpacing/>
        <w:jc w:val="both"/>
      </w:pPr>
      <w:r>
        <w:t xml:space="preserve">It is commonly said that banks lent too much credit in 2007, </w:t>
      </w:r>
      <w:r w:rsidR="00C463F6">
        <w:t xml:space="preserve">firstly </w:t>
      </w:r>
      <w:r>
        <w:t>in the US sub-prime mortgage market</w:t>
      </w:r>
      <w:r w:rsidR="00C463F6">
        <w:t>,</w:t>
      </w:r>
      <w:r>
        <w:t xml:space="preserve"> and then widely in the UK economy. But the above analysis shows that £55bn of bank lending was exactly </w:t>
      </w:r>
      <w:r w:rsidR="00AA72F5">
        <w:t xml:space="preserve">the </w:t>
      </w:r>
      <w:r>
        <w:t>right amount needed to purchase GDP output, a claim which is substantiated by the lack of inflation in goods and services markets both then and throughout the NICE decade. It is true that asset prices inflated, but this resulted from</w:t>
      </w:r>
      <w:r w:rsidR="00AA72F5">
        <w:t xml:space="preserve"> any credit beyond that £55bn. T</w:t>
      </w:r>
      <w:r>
        <w:t xml:space="preserve">he £55bn consumer credit matched against GDP output was non-inflationary. </w:t>
      </w:r>
    </w:p>
    <w:p w:rsidR="00E2525B" w:rsidRDefault="00E2525B" w:rsidP="00E0390A">
      <w:pPr>
        <w:contextualSpacing/>
        <w:jc w:val="both"/>
      </w:pPr>
    </w:p>
    <w:p w:rsidR="001B4F17" w:rsidRPr="001B4F17" w:rsidRDefault="001B4F17" w:rsidP="00E0390A">
      <w:pPr>
        <w:contextualSpacing/>
        <w:jc w:val="both"/>
        <w:rPr>
          <w:b/>
        </w:rPr>
      </w:pPr>
      <w:r w:rsidRPr="001B4F17">
        <w:rPr>
          <w:b/>
        </w:rPr>
        <w:t>Distributive considerations</w:t>
      </w:r>
    </w:p>
    <w:p w:rsidR="001B4F17" w:rsidRDefault="001B4F17" w:rsidP="00E0390A">
      <w:pPr>
        <w:contextualSpacing/>
        <w:jc w:val="both"/>
      </w:pPr>
    </w:p>
    <w:p w:rsidR="00E2525B" w:rsidRDefault="00AA72F5" w:rsidP="00E0390A">
      <w:pPr>
        <w:contextualSpacing/>
        <w:jc w:val="both"/>
      </w:pPr>
      <w:r>
        <w:t>P</w:t>
      </w:r>
      <w:r w:rsidR="00E2525B">
        <w:t xml:space="preserve">roductivity </w:t>
      </w:r>
      <w:r>
        <w:t xml:space="preserve">growth in excess of real wage growth, </w:t>
      </w:r>
      <w:r w:rsidR="00E2525B">
        <w:t xml:space="preserve">and the gap between consumer income and GDP output </w:t>
      </w:r>
      <w:r>
        <w:t>this produces</w:t>
      </w:r>
      <w:r w:rsidR="009F65B1">
        <w:t>,</w:t>
      </w:r>
      <w:r>
        <w:t xml:space="preserve"> has </w:t>
      </w:r>
      <w:r w:rsidR="00E2525B">
        <w:t xml:space="preserve">distributive consequences. </w:t>
      </w:r>
      <w:r w:rsidR="00794B94">
        <w:t>Between social groups, it tends to disfavour the poor, who rely more on the wage element of income, who suffer the loss of low skilled employment when automation displaces labour, and whose access to credit as a replacement to wages is weak.</w:t>
      </w:r>
      <w:r w:rsidR="00DA60AA">
        <w:t xml:space="preserve"> </w:t>
      </w:r>
      <w:r>
        <w:t xml:space="preserve">Welfare payments are their only recourse. </w:t>
      </w:r>
      <w:r w:rsidR="00DA60AA">
        <w:t>Surprisingly, the Institute of Fiscal Studies report ‘Poverty and Inequality in the UK : 2011’ shows that increased we</w:t>
      </w:r>
      <w:r w:rsidR="00EE09D3">
        <w:t xml:space="preserve">lfare payments </w:t>
      </w:r>
      <w:r>
        <w:t xml:space="preserve">did </w:t>
      </w:r>
      <w:r w:rsidR="009F65B1">
        <w:t>overco</w:t>
      </w:r>
      <w:r w:rsidR="00EE09D3">
        <w:t xml:space="preserve">me </w:t>
      </w:r>
      <w:r>
        <w:t>income disadvantage</w:t>
      </w:r>
      <w:r w:rsidR="00EE09D3">
        <w:t xml:space="preserve">. </w:t>
      </w:r>
      <w:r w:rsidR="00977132">
        <w:t>According to the IFS study, c</w:t>
      </w:r>
      <w:r w:rsidR="00DA60AA">
        <w:t xml:space="preserve">hild poverty at 20% is now the lowest since 1985, and pensioner poverty is currently lower than at any point in the last 50 years. </w:t>
      </w:r>
    </w:p>
    <w:p w:rsidR="004F7F00" w:rsidRDefault="004F7F00" w:rsidP="00E0390A">
      <w:pPr>
        <w:contextualSpacing/>
        <w:jc w:val="both"/>
      </w:pPr>
    </w:p>
    <w:p w:rsidR="004F7F00" w:rsidRDefault="005D2E30" w:rsidP="00E0390A">
      <w:pPr>
        <w:contextualSpacing/>
        <w:jc w:val="both"/>
      </w:pPr>
      <w:r>
        <w:t xml:space="preserve">The </w:t>
      </w:r>
      <w:proofErr w:type="spellStart"/>
      <w:r>
        <w:t>s</w:t>
      </w:r>
      <w:r w:rsidR="004F7F00">
        <w:t>ectoral</w:t>
      </w:r>
      <w:proofErr w:type="spellEnd"/>
      <w:r w:rsidR="004F7F00">
        <w:t xml:space="preserve"> distribution of GDP is also affected by automation. Manufacturing employment and real wages per unit of output will fall, and much of this employment is transferred to low wage service sectors of the economy, only some of which like banking are subject to automation</w:t>
      </w:r>
      <w:r w:rsidR="009F65B1">
        <w:t xml:space="preserve"> and productivity improvement</w:t>
      </w:r>
      <w:r w:rsidR="004F7F00">
        <w:t>. From anecdotal evidence, increased low produc</w:t>
      </w:r>
      <w:r>
        <w:t xml:space="preserve">tivity low wage service sector </w:t>
      </w:r>
      <w:r w:rsidR="004F7F00">
        <w:t xml:space="preserve">employment has absorbed employment reduction in more automated manufacturing sectors, and masked </w:t>
      </w:r>
      <w:r w:rsidR="009F65B1">
        <w:t xml:space="preserve">the </w:t>
      </w:r>
      <w:r w:rsidR="004F7F00">
        <w:t xml:space="preserve">effect </w:t>
      </w:r>
      <w:r w:rsidR="009F65B1">
        <w:t xml:space="preserve">of productivity </w:t>
      </w:r>
      <w:r w:rsidR="004F7F00">
        <w:t xml:space="preserve">in reducing aggregate real wages. Population growth is another factor masking the demand deficiency resulting from the </w:t>
      </w:r>
      <w:proofErr w:type="spellStart"/>
      <w:r w:rsidR="004F7F00">
        <w:t>delinkage</w:t>
      </w:r>
      <w:proofErr w:type="spellEnd"/>
      <w:r w:rsidR="004F7F00">
        <w:t xml:space="preserve"> of productivity and real wages.</w:t>
      </w:r>
    </w:p>
    <w:p w:rsidR="00791800" w:rsidRDefault="00791800" w:rsidP="00E0390A">
      <w:pPr>
        <w:contextualSpacing/>
        <w:jc w:val="both"/>
      </w:pPr>
    </w:p>
    <w:p w:rsidR="00791800" w:rsidRDefault="00791800" w:rsidP="00E0390A">
      <w:pPr>
        <w:contextualSpacing/>
        <w:jc w:val="both"/>
      </w:pPr>
      <w:r>
        <w:t>We could of course take the view that reduced consumption is exactly what we want as part of a new ascetic paradigm to conserve world resources. Competition for these natural resources from China and India may well force this choice on us anyway. But if we do pursue this option, income redistribution to those newly unemployed through productivity gains unmatched by new demand</w:t>
      </w:r>
      <w:r w:rsidR="003335FA">
        <w:t>,</w:t>
      </w:r>
      <w:r>
        <w:t xml:space="preserve"> will be an essential part of the paradigm. Some form of welfare payment which does not add to government debt would have to be found.</w:t>
      </w:r>
    </w:p>
    <w:p w:rsidR="005D2E30" w:rsidRDefault="005D2E30" w:rsidP="00E0390A">
      <w:pPr>
        <w:contextualSpacing/>
        <w:jc w:val="both"/>
      </w:pPr>
    </w:p>
    <w:p w:rsidR="003335FA" w:rsidRDefault="003335FA" w:rsidP="00E0390A">
      <w:pPr>
        <w:contextualSpacing/>
        <w:jc w:val="both"/>
        <w:rPr>
          <w:b/>
        </w:rPr>
      </w:pPr>
    </w:p>
    <w:p w:rsidR="003335FA" w:rsidRDefault="003335FA" w:rsidP="00E0390A">
      <w:pPr>
        <w:contextualSpacing/>
        <w:jc w:val="both"/>
        <w:rPr>
          <w:b/>
        </w:rPr>
      </w:pPr>
    </w:p>
    <w:p w:rsidR="003335FA" w:rsidRDefault="003335FA" w:rsidP="00E0390A">
      <w:pPr>
        <w:contextualSpacing/>
        <w:jc w:val="both"/>
        <w:rPr>
          <w:b/>
        </w:rPr>
      </w:pPr>
    </w:p>
    <w:p w:rsidR="001B4F17" w:rsidRPr="009E2906" w:rsidRDefault="009E2906" w:rsidP="00E0390A">
      <w:pPr>
        <w:contextualSpacing/>
        <w:jc w:val="both"/>
        <w:rPr>
          <w:b/>
        </w:rPr>
      </w:pPr>
      <w:r w:rsidRPr="009E2906">
        <w:rPr>
          <w:b/>
        </w:rPr>
        <w:lastRenderedPageBreak/>
        <w:t>A citizen income – the only route to stop debt being inevitable</w:t>
      </w:r>
      <w:r>
        <w:rPr>
          <w:b/>
        </w:rPr>
        <w:t xml:space="preserve"> as productivity grows</w:t>
      </w:r>
    </w:p>
    <w:p w:rsidR="001B4F17" w:rsidRDefault="001B4F17" w:rsidP="00E0390A">
      <w:pPr>
        <w:contextualSpacing/>
        <w:jc w:val="both"/>
      </w:pPr>
    </w:p>
    <w:p w:rsidR="004F7F00" w:rsidRDefault="005D2E30" w:rsidP="00E0390A">
      <w:pPr>
        <w:contextualSpacing/>
        <w:jc w:val="both"/>
      </w:pPr>
      <w:r>
        <w:t>What is needed in the new paradigm</w:t>
      </w:r>
      <w:r w:rsidR="009F0792">
        <w:t>,</w:t>
      </w:r>
      <w:r>
        <w:t xml:space="preserve"> where it is accepted that the </w:t>
      </w:r>
      <w:proofErr w:type="spellStart"/>
      <w:r>
        <w:t>delinkage</w:t>
      </w:r>
      <w:proofErr w:type="spellEnd"/>
      <w:r>
        <w:t xml:space="preserve"> of productivity and real wages will make an element of debt financing inevitable, is a non-</w:t>
      </w:r>
      <w:r w:rsidR="00DC0D2B">
        <w:t>repayable financial i</w:t>
      </w:r>
      <w:r w:rsidR="004257E7">
        <w:t>nstrument</w:t>
      </w:r>
      <w:r w:rsidR="00DC0D2B">
        <w:t xml:space="preserve">, a universal credit. </w:t>
      </w:r>
      <w:r>
        <w:t>This would have to be non-repayable at both consumer and government level. Proposals for a citizen’s income are longstanding. Such an income would not be repayable by the consumer and should be financed without incurring government debt. This can be readily done by creating a public sector bank with a government deposit</w:t>
      </w:r>
      <w:r w:rsidR="00DC0D2B">
        <w:t>,</w:t>
      </w:r>
      <w:r>
        <w:t xml:space="preserve"> and a lending ratio set to exactly meet the shortfall between output GDP made possible by increased productivity, and </w:t>
      </w:r>
      <w:r w:rsidR="00AA3E63">
        <w:t xml:space="preserve">flat or declining </w:t>
      </w:r>
      <w:r>
        <w:t>real wages</w:t>
      </w:r>
      <w:r w:rsidR="00AA3E63">
        <w:t xml:space="preserve">. If the £55bn incurred as consumer credit </w:t>
      </w:r>
      <w:r w:rsidR="009F65B1">
        <w:t xml:space="preserve">in 2007 </w:t>
      </w:r>
      <w:r w:rsidR="00AA3E63">
        <w:t xml:space="preserve">had instead been funded in this way, the economy would not face the crisis it faces today. </w:t>
      </w:r>
      <w:r w:rsidR="00A25DCD">
        <w:t>We have to think outside the box. Calls for a plan B are stuck within the present paradigm. This new paradigm would re-engineer the financial sector and the management of inevitable debt</w:t>
      </w:r>
      <w:r w:rsidR="009F65B1">
        <w:t xml:space="preserve">. It would </w:t>
      </w:r>
      <w:r w:rsidR="00A25DCD">
        <w:t xml:space="preserve">release the real economy from artificial financial constraint, </w:t>
      </w:r>
      <w:r w:rsidR="009F65B1">
        <w:t xml:space="preserve">and </w:t>
      </w:r>
      <w:r w:rsidR="00A25DCD">
        <w:t>deliver sound finances built on the same productivity advances.</w:t>
      </w:r>
      <w:r w:rsidR="009E2906">
        <w:t xml:space="preserve"> It would also greatly enhance social cohesion.</w:t>
      </w:r>
    </w:p>
    <w:p w:rsidR="00A25DCD" w:rsidRDefault="00A25DCD" w:rsidP="00E0390A">
      <w:pPr>
        <w:contextualSpacing/>
        <w:jc w:val="both"/>
      </w:pPr>
    </w:p>
    <w:p w:rsidR="002B73F1" w:rsidRPr="00CF03DF" w:rsidRDefault="002B73F1" w:rsidP="002B73F1">
      <w:pPr>
        <w:contextualSpacing/>
        <w:jc w:val="both"/>
      </w:pPr>
      <w:r w:rsidRPr="00CF03DF">
        <w:t>Geoff Crocker</w:t>
      </w:r>
    </w:p>
    <w:p w:rsidR="002B73F1" w:rsidRDefault="00DC0D2B" w:rsidP="002B73F1">
      <w:pPr>
        <w:contextualSpacing/>
        <w:jc w:val="both"/>
      </w:pPr>
      <w:r>
        <w:t>February 2012</w:t>
      </w:r>
    </w:p>
    <w:p w:rsidR="00DC0D2B" w:rsidRPr="00CF03DF" w:rsidRDefault="00DC0D2B" w:rsidP="002B73F1">
      <w:pPr>
        <w:contextualSpacing/>
        <w:jc w:val="both"/>
      </w:pPr>
    </w:p>
    <w:p w:rsidR="002B73F1" w:rsidRPr="00CF03DF" w:rsidRDefault="002B73F1" w:rsidP="002B73F1">
      <w:pPr>
        <w:contextualSpacing/>
        <w:jc w:val="both"/>
        <w:rPr>
          <w:b/>
          <w:sz w:val="18"/>
          <w:szCs w:val="18"/>
        </w:rPr>
      </w:pPr>
      <w:r w:rsidRPr="00CF03DF">
        <w:rPr>
          <w:b/>
          <w:sz w:val="18"/>
          <w:szCs w:val="18"/>
        </w:rPr>
        <w:t>Note on the author</w:t>
      </w:r>
    </w:p>
    <w:p w:rsidR="002B73F1" w:rsidRPr="00CF03DF" w:rsidRDefault="002B73F1" w:rsidP="002B73F1">
      <w:pPr>
        <w:contextualSpacing/>
        <w:jc w:val="both"/>
        <w:rPr>
          <w:sz w:val="18"/>
          <w:szCs w:val="18"/>
        </w:rPr>
      </w:pPr>
    </w:p>
    <w:p w:rsidR="002B73F1" w:rsidRDefault="002B73F1" w:rsidP="002B73F1">
      <w:pPr>
        <w:contextualSpacing/>
        <w:jc w:val="both"/>
        <w:rPr>
          <w:sz w:val="18"/>
          <w:szCs w:val="18"/>
        </w:rPr>
      </w:pPr>
      <w:r w:rsidRPr="00CF03DF">
        <w:rPr>
          <w:sz w:val="18"/>
          <w:szCs w:val="18"/>
        </w:rPr>
        <w:t xml:space="preserve">Geoff Crocker holds a first class honours </w:t>
      </w:r>
      <w:r w:rsidR="00741867">
        <w:rPr>
          <w:sz w:val="18"/>
          <w:szCs w:val="18"/>
        </w:rPr>
        <w:t xml:space="preserve">economics </w:t>
      </w:r>
      <w:r w:rsidRPr="00CF03DF">
        <w:rPr>
          <w:sz w:val="18"/>
          <w:szCs w:val="18"/>
        </w:rPr>
        <w:t xml:space="preserve">degree from Durham university UK </w:t>
      </w:r>
      <w:r>
        <w:rPr>
          <w:sz w:val="18"/>
          <w:szCs w:val="18"/>
        </w:rPr>
        <w:t xml:space="preserve">and an MA in Philosophy of Science from Bristol university UK. He </w:t>
      </w:r>
      <w:r w:rsidRPr="00CF03DF">
        <w:rPr>
          <w:sz w:val="18"/>
          <w:szCs w:val="18"/>
        </w:rPr>
        <w:t xml:space="preserve">has </w:t>
      </w:r>
      <w:r>
        <w:rPr>
          <w:sz w:val="18"/>
          <w:szCs w:val="18"/>
        </w:rPr>
        <w:t>extensive work experience</w:t>
      </w:r>
      <w:r w:rsidRPr="00CF03DF">
        <w:rPr>
          <w:sz w:val="18"/>
          <w:szCs w:val="18"/>
        </w:rPr>
        <w:t xml:space="preserve"> in industrial strategy for major international corporate clients</w:t>
      </w:r>
      <w:r>
        <w:rPr>
          <w:sz w:val="18"/>
          <w:szCs w:val="18"/>
        </w:rPr>
        <w:t xml:space="preserve"> including many years work in strategic development of Russian industry</w:t>
      </w:r>
      <w:r w:rsidR="00DC0D2B">
        <w:rPr>
          <w:sz w:val="18"/>
          <w:szCs w:val="18"/>
        </w:rPr>
        <w:t xml:space="preserve">. His work is set out at </w:t>
      </w:r>
      <w:hyperlink r:id="rId8" w:history="1">
        <w:r w:rsidR="00DC0D2B" w:rsidRPr="00AE5F3C">
          <w:rPr>
            <w:rStyle w:val="Hyperlink"/>
            <w:sz w:val="18"/>
            <w:szCs w:val="18"/>
          </w:rPr>
          <w:t>www.tms.eu.com</w:t>
        </w:r>
      </w:hyperlink>
    </w:p>
    <w:p w:rsidR="00DC0D2B" w:rsidRPr="00CF03DF" w:rsidRDefault="00DC0D2B" w:rsidP="002B73F1">
      <w:pPr>
        <w:contextualSpacing/>
        <w:jc w:val="both"/>
        <w:rPr>
          <w:sz w:val="18"/>
          <w:szCs w:val="18"/>
        </w:rPr>
      </w:pPr>
    </w:p>
    <w:p w:rsidR="002B73F1" w:rsidRPr="00CF03DF" w:rsidRDefault="002B73F1" w:rsidP="002B73F1">
      <w:pPr>
        <w:contextualSpacing/>
        <w:jc w:val="both"/>
        <w:rPr>
          <w:sz w:val="18"/>
          <w:szCs w:val="18"/>
        </w:rPr>
      </w:pPr>
    </w:p>
    <w:p w:rsidR="002B73F1" w:rsidRPr="00CF03DF" w:rsidRDefault="002B73F1" w:rsidP="002B73F1">
      <w:pPr>
        <w:contextualSpacing/>
        <w:jc w:val="both"/>
        <w:rPr>
          <w:b/>
          <w:sz w:val="18"/>
          <w:szCs w:val="18"/>
        </w:rPr>
      </w:pPr>
      <w:r w:rsidRPr="00CF03DF">
        <w:rPr>
          <w:b/>
          <w:sz w:val="18"/>
          <w:szCs w:val="18"/>
        </w:rPr>
        <w:t>Contacts</w:t>
      </w:r>
    </w:p>
    <w:p w:rsidR="002B73F1" w:rsidRPr="00CF03DF" w:rsidRDefault="002B73F1" w:rsidP="002B73F1">
      <w:pPr>
        <w:contextualSpacing/>
        <w:jc w:val="both"/>
        <w:rPr>
          <w:sz w:val="18"/>
          <w:szCs w:val="18"/>
        </w:rPr>
      </w:pPr>
    </w:p>
    <w:p w:rsidR="002B73F1" w:rsidRPr="00CF03DF" w:rsidRDefault="002B73F1" w:rsidP="002B73F1">
      <w:pPr>
        <w:contextualSpacing/>
        <w:jc w:val="both"/>
        <w:rPr>
          <w:sz w:val="18"/>
          <w:szCs w:val="18"/>
        </w:rPr>
      </w:pPr>
      <w:r w:rsidRPr="00CF03DF">
        <w:rPr>
          <w:sz w:val="18"/>
          <w:szCs w:val="18"/>
        </w:rPr>
        <w:t>Geoff Crocker</w:t>
      </w:r>
    </w:p>
    <w:p w:rsidR="002B73F1" w:rsidRPr="00CF03DF" w:rsidRDefault="002B73F1" w:rsidP="002B73F1">
      <w:pPr>
        <w:contextualSpacing/>
        <w:jc w:val="both"/>
        <w:rPr>
          <w:sz w:val="18"/>
          <w:szCs w:val="18"/>
        </w:rPr>
      </w:pPr>
      <w:r w:rsidRPr="00CF03DF">
        <w:rPr>
          <w:sz w:val="18"/>
          <w:szCs w:val="18"/>
        </w:rPr>
        <w:t>12 Hope Square</w:t>
      </w:r>
    </w:p>
    <w:p w:rsidR="002B73F1" w:rsidRPr="00CF03DF" w:rsidRDefault="002B73F1" w:rsidP="002B73F1">
      <w:pPr>
        <w:contextualSpacing/>
        <w:jc w:val="both"/>
        <w:rPr>
          <w:sz w:val="18"/>
          <w:szCs w:val="18"/>
        </w:rPr>
      </w:pPr>
      <w:r w:rsidRPr="00CF03DF">
        <w:rPr>
          <w:sz w:val="18"/>
          <w:szCs w:val="18"/>
        </w:rPr>
        <w:t>Bristol</w:t>
      </w:r>
    </w:p>
    <w:p w:rsidR="002B73F1" w:rsidRPr="004257E7" w:rsidRDefault="002B73F1" w:rsidP="002B73F1">
      <w:pPr>
        <w:contextualSpacing/>
        <w:jc w:val="both"/>
        <w:rPr>
          <w:sz w:val="18"/>
          <w:szCs w:val="18"/>
        </w:rPr>
      </w:pPr>
      <w:r w:rsidRPr="004257E7">
        <w:rPr>
          <w:sz w:val="18"/>
          <w:szCs w:val="18"/>
        </w:rPr>
        <w:t>BS8 4LX</w:t>
      </w:r>
    </w:p>
    <w:p w:rsidR="002B73F1" w:rsidRPr="004257E7" w:rsidRDefault="002B73F1" w:rsidP="002B73F1">
      <w:pPr>
        <w:contextualSpacing/>
        <w:jc w:val="both"/>
        <w:rPr>
          <w:sz w:val="18"/>
          <w:szCs w:val="18"/>
        </w:rPr>
      </w:pPr>
    </w:p>
    <w:p w:rsidR="002B73F1" w:rsidRPr="00322CD0" w:rsidRDefault="002B73F1" w:rsidP="002B73F1">
      <w:pPr>
        <w:contextualSpacing/>
        <w:jc w:val="both"/>
        <w:rPr>
          <w:sz w:val="18"/>
          <w:szCs w:val="18"/>
          <w:lang w:val="fr-FR"/>
        </w:rPr>
      </w:pPr>
      <w:r w:rsidRPr="00322CD0">
        <w:rPr>
          <w:sz w:val="18"/>
          <w:szCs w:val="18"/>
          <w:lang w:val="fr-FR"/>
        </w:rPr>
        <w:t>tel 07770 585031</w:t>
      </w:r>
    </w:p>
    <w:p w:rsidR="002B73F1" w:rsidRPr="00322CD0" w:rsidRDefault="002B73F1" w:rsidP="002B73F1">
      <w:pPr>
        <w:contextualSpacing/>
        <w:jc w:val="both"/>
        <w:rPr>
          <w:sz w:val="18"/>
          <w:szCs w:val="18"/>
          <w:lang w:val="fr-FR"/>
        </w:rPr>
      </w:pPr>
      <w:r w:rsidRPr="00322CD0">
        <w:rPr>
          <w:sz w:val="18"/>
          <w:szCs w:val="18"/>
          <w:lang w:val="fr-FR"/>
        </w:rPr>
        <w:t xml:space="preserve">e-mail </w:t>
      </w:r>
      <w:hyperlink r:id="rId9" w:history="1">
        <w:r w:rsidRPr="00322CD0">
          <w:rPr>
            <w:rStyle w:val="Hyperlink"/>
            <w:sz w:val="18"/>
            <w:szCs w:val="18"/>
            <w:lang w:val="fr-FR"/>
          </w:rPr>
          <w:t>geoff.crocker@3wa.co.uk</w:t>
        </w:r>
      </w:hyperlink>
    </w:p>
    <w:p w:rsidR="002B73F1" w:rsidRPr="00CF03DF" w:rsidRDefault="002B73F1" w:rsidP="002B73F1">
      <w:pPr>
        <w:contextualSpacing/>
        <w:jc w:val="both"/>
        <w:rPr>
          <w:sz w:val="18"/>
          <w:szCs w:val="18"/>
        </w:rPr>
      </w:pPr>
      <w:r w:rsidRPr="00CF03DF">
        <w:rPr>
          <w:sz w:val="18"/>
          <w:szCs w:val="18"/>
        </w:rPr>
        <w:t xml:space="preserve">web </w:t>
      </w:r>
      <w:hyperlink r:id="rId10" w:history="1">
        <w:r w:rsidRPr="00CF03DF">
          <w:rPr>
            <w:rStyle w:val="Hyperlink"/>
            <w:sz w:val="18"/>
            <w:szCs w:val="18"/>
          </w:rPr>
          <w:t>www.tms.eu.com</w:t>
        </w:r>
      </w:hyperlink>
    </w:p>
    <w:p w:rsidR="00791800" w:rsidRDefault="00791800"/>
    <w:sectPr w:rsidR="00791800" w:rsidSect="00453C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321B04"/>
    <w:multiLevelType w:val="hybridMultilevel"/>
    <w:tmpl w:val="45B83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BD5496"/>
    <w:rsid w:val="000020F9"/>
    <w:rsid w:val="00034EDC"/>
    <w:rsid w:val="00052EE7"/>
    <w:rsid w:val="000710D1"/>
    <w:rsid w:val="00084B5B"/>
    <w:rsid w:val="000E38A3"/>
    <w:rsid w:val="00194D99"/>
    <w:rsid w:val="001B4F17"/>
    <w:rsid w:val="001C30CE"/>
    <w:rsid w:val="001D4D64"/>
    <w:rsid w:val="002550CA"/>
    <w:rsid w:val="002B73F1"/>
    <w:rsid w:val="003223B0"/>
    <w:rsid w:val="003335FA"/>
    <w:rsid w:val="003722F4"/>
    <w:rsid w:val="003A4271"/>
    <w:rsid w:val="003B130D"/>
    <w:rsid w:val="004257E7"/>
    <w:rsid w:val="00453C68"/>
    <w:rsid w:val="004B29B8"/>
    <w:rsid w:val="004C3188"/>
    <w:rsid w:val="004D7A59"/>
    <w:rsid w:val="004F7F00"/>
    <w:rsid w:val="00525EF9"/>
    <w:rsid w:val="0055082F"/>
    <w:rsid w:val="005807B3"/>
    <w:rsid w:val="005C4425"/>
    <w:rsid w:val="005D2E30"/>
    <w:rsid w:val="00630C5D"/>
    <w:rsid w:val="00632F9B"/>
    <w:rsid w:val="006A6CA4"/>
    <w:rsid w:val="006F13D3"/>
    <w:rsid w:val="00741867"/>
    <w:rsid w:val="0074467A"/>
    <w:rsid w:val="0075408D"/>
    <w:rsid w:val="00791800"/>
    <w:rsid w:val="00794B94"/>
    <w:rsid w:val="00814696"/>
    <w:rsid w:val="00854E89"/>
    <w:rsid w:val="00885F46"/>
    <w:rsid w:val="008C5034"/>
    <w:rsid w:val="0090147D"/>
    <w:rsid w:val="00977132"/>
    <w:rsid w:val="00995A25"/>
    <w:rsid w:val="009B7595"/>
    <w:rsid w:val="009C5DF5"/>
    <w:rsid w:val="009E2906"/>
    <w:rsid w:val="009F0792"/>
    <w:rsid w:val="009F65B1"/>
    <w:rsid w:val="00A01854"/>
    <w:rsid w:val="00A13CCE"/>
    <w:rsid w:val="00A25DCD"/>
    <w:rsid w:val="00A31AD6"/>
    <w:rsid w:val="00A4333A"/>
    <w:rsid w:val="00A55448"/>
    <w:rsid w:val="00AA3E63"/>
    <w:rsid w:val="00AA72F5"/>
    <w:rsid w:val="00AB78DC"/>
    <w:rsid w:val="00AB7BD8"/>
    <w:rsid w:val="00BD5496"/>
    <w:rsid w:val="00BE3B2C"/>
    <w:rsid w:val="00C463F6"/>
    <w:rsid w:val="00C62C61"/>
    <w:rsid w:val="00CB20E3"/>
    <w:rsid w:val="00CB4DC5"/>
    <w:rsid w:val="00CB6C87"/>
    <w:rsid w:val="00CC1A52"/>
    <w:rsid w:val="00CF558A"/>
    <w:rsid w:val="00D4420D"/>
    <w:rsid w:val="00D70FC9"/>
    <w:rsid w:val="00D80052"/>
    <w:rsid w:val="00DA60AA"/>
    <w:rsid w:val="00DC0D2B"/>
    <w:rsid w:val="00E0390A"/>
    <w:rsid w:val="00E05DF2"/>
    <w:rsid w:val="00E2525B"/>
    <w:rsid w:val="00E74C86"/>
    <w:rsid w:val="00EE09D3"/>
    <w:rsid w:val="00F71844"/>
    <w:rsid w:val="00F83835"/>
    <w:rsid w:val="00FA66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C68"/>
  </w:style>
  <w:style w:type="paragraph" w:styleId="Heading2">
    <w:name w:val="heading 2"/>
    <w:basedOn w:val="Normal"/>
    <w:link w:val="Heading2Char"/>
    <w:uiPriority w:val="9"/>
    <w:qFormat/>
    <w:rsid w:val="00791800"/>
    <w:pPr>
      <w:shd w:val="clear" w:color="auto" w:fill="333333"/>
      <w:spacing w:after="45" w:line="240" w:lineRule="auto"/>
      <w:outlineLvl w:val="1"/>
    </w:pPr>
    <w:rPr>
      <w:rFonts w:ascii="Arial" w:eastAsia="Times New Roman" w:hAnsi="Arial" w:cs="Arial"/>
      <w:caps/>
      <w:color w:val="FFFFFF"/>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90A"/>
    <w:rPr>
      <w:rFonts w:ascii="Tahoma" w:hAnsi="Tahoma" w:cs="Tahoma"/>
      <w:sz w:val="16"/>
      <w:szCs w:val="16"/>
    </w:rPr>
  </w:style>
  <w:style w:type="character" w:styleId="Hyperlink">
    <w:name w:val="Hyperlink"/>
    <w:basedOn w:val="DefaultParagraphFont"/>
    <w:uiPriority w:val="99"/>
    <w:unhideWhenUsed/>
    <w:rsid w:val="002B73F1"/>
    <w:rPr>
      <w:color w:val="0000FF"/>
      <w:u w:val="single"/>
    </w:rPr>
  </w:style>
  <w:style w:type="character" w:customStyle="1" w:styleId="Heading2Char">
    <w:name w:val="Heading 2 Char"/>
    <w:basedOn w:val="DefaultParagraphFont"/>
    <w:link w:val="Heading2"/>
    <w:uiPriority w:val="9"/>
    <w:rsid w:val="00791800"/>
    <w:rPr>
      <w:rFonts w:ascii="Arial" w:eastAsia="Times New Roman" w:hAnsi="Arial" w:cs="Arial"/>
      <w:caps/>
      <w:color w:val="FFFFFF"/>
      <w:sz w:val="23"/>
      <w:szCs w:val="23"/>
      <w:shd w:val="clear" w:color="auto" w:fill="333333"/>
    </w:rPr>
  </w:style>
  <w:style w:type="paragraph" w:styleId="NormalWeb">
    <w:name w:val="Normal (Web)"/>
    <w:basedOn w:val="Normal"/>
    <w:uiPriority w:val="99"/>
    <w:semiHidden/>
    <w:unhideWhenUsed/>
    <w:rsid w:val="00791800"/>
    <w:pPr>
      <w:spacing w:before="45" w:after="15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8218327">
      <w:bodyDiv w:val="1"/>
      <w:marLeft w:val="0"/>
      <w:marRight w:val="0"/>
      <w:marTop w:val="0"/>
      <w:marBottom w:val="0"/>
      <w:divBdr>
        <w:top w:val="none" w:sz="0" w:space="0" w:color="auto"/>
        <w:left w:val="none" w:sz="0" w:space="0" w:color="auto"/>
        <w:bottom w:val="none" w:sz="0" w:space="0" w:color="auto"/>
        <w:right w:val="none" w:sz="0" w:space="0" w:color="auto"/>
      </w:divBdr>
      <w:divsChild>
        <w:div w:id="2069574183">
          <w:marLeft w:val="0"/>
          <w:marRight w:val="0"/>
          <w:marTop w:val="0"/>
          <w:marBottom w:val="0"/>
          <w:divBdr>
            <w:top w:val="none" w:sz="0" w:space="0" w:color="auto"/>
            <w:left w:val="none" w:sz="0" w:space="0" w:color="auto"/>
            <w:bottom w:val="none" w:sz="0" w:space="0" w:color="auto"/>
            <w:right w:val="none" w:sz="0" w:space="0" w:color="auto"/>
          </w:divBdr>
          <w:divsChild>
            <w:div w:id="1113749118">
              <w:marLeft w:val="0"/>
              <w:marRight w:val="0"/>
              <w:marTop w:val="0"/>
              <w:marBottom w:val="0"/>
              <w:divBdr>
                <w:top w:val="none" w:sz="0" w:space="0" w:color="auto"/>
                <w:left w:val="none" w:sz="0" w:space="0" w:color="auto"/>
                <w:bottom w:val="none" w:sz="0" w:space="0" w:color="auto"/>
                <w:right w:val="none" w:sz="0" w:space="0" w:color="auto"/>
              </w:divBdr>
              <w:divsChild>
                <w:div w:id="523521164">
                  <w:marLeft w:val="0"/>
                  <w:marRight w:val="0"/>
                  <w:marTop w:val="0"/>
                  <w:marBottom w:val="0"/>
                  <w:divBdr>
                    <w:top w:val="none" w:sz="0" w:space="0" w:color="auto"/>
                    <w:left w:val="none" w:sz="0" w:space="0" w:color="auto"/>
                    <w:bottom w:val="none" w:sz="0" w:space="0" w:color="auto"/>
                    <w:right w:val="none" w:sz="0" w:space="0" w:color="auto"/>
                  </w:divBdr>
                  <w:divsChild>
                    <w:div w:id="1683900482">
                      <w:marLeft w:val="0"/>
                      <w:marRight w:val="0"/>
                      <w:marTop w:val="0"/>
                      <w:marBottom w:val="0"/>
                      <w:divBdr>
                        <w:top w:val="none" w:sz="0" w:space="0" w:color="auto"/>
                        <w:left w:val="none" w:sz="0" w:space="0" w:color="auto"/>
                        <w:bottom w:val="none" w:sz="0" w:space="0" w:color="auto"/>
                        <w:right w:val="none" w:sz="0" w:space="0" w:color="auto"/>
                      </w:divBdr>
                      <w:divsChild>
                        <w:div w:id="655452720">
                          <w:marLeft w:val="0"/>
                          <w:marRight w:val="0"/>
                          <w:marTop w:val="0"/>
                          <w:marBottom w:val="0"/>
                          <w:divBdr>
                            <w:top w:val="none" w:sz="0" w:space="0" w:color="auto"/>
                            <w:left w:val="none" w:sz="0" w:space="0" w:color="auto"/>
                            <w:bottom w:val="none" w:sz="0" w:space="0" w:color="auto"/>
                            <w:right w:val="none" w:sz="0" w:space="0" w:color="auto"/>
                          </w:divBdr>
                          <w:divsChild>
                            <w:div w:id="1416585814">
                              <w:marLeft w:val="0"/>
                              <w:marRight w:val="0"/>
                              <w:marTop w:val="0"/>
                              <w:marBottom w:val="0"/>
                              <w:divBdr>
                                <w:top w:val="none" w:sz="0" w:space="0" w:color="auto"/>
                                <w:left w:val="none" w:sz="0" w:space="0" w:color="auto"/>
                                <w:bottom w:val="none" w:sz="0" w:space="0" w:color="auto"/>
                                <w:right w:val="none" w:sz="0" w:space="0" w:color="auto"/>
                              </w:divBdr>
                              <w:divsChild>
                                <w:div w:id="104158920">
                                  <w:marLeft w:val="0"/>
                                  <w:marRight w:val="0"/>
                                  <w:marTop w:val="150"/>
                                  <w:marBottom w:val="0"/>
                                  <w:divBdr>
                                    <w:top w:val="none" w:sz="0" w:space="0" w:color="auto"/>
                                    <w:left w:val="none" w:sz="0" w:space="0" w:color="auto"/>
                                    <w:bottom w:val="none" w:sz="0" w:space="0" w:color="auto"/>
                                    <w:right w:val="none" w:sz="0" w:space="0" w:color="auto"/>
                                  </w:divBdr>
                                  <w:divsChild>
                                    <w:div w:id="652103656">
                                      <w:marLeft w:val="0"/>
                                      <w:marRight w:val="0"/>
                                      <w:marTop w:val="0"/>
                                      <w:marBottom w:val="0"/>
                                      <w:divBdr>
                                        <w:top w:val="none" w:sz="0" w:space="0" w:color="auto"/>
                                        <w:left w:val="none" w:sz="0" w:space="0" w:color="auto"/>
                                        <w:bottom w:val="none" w:sz="0" w:space="0" w:color="auto"/>
                                        <w:right w:val="none" w:sz="0" w:space="0" w:color="auto"/>
                                      </w:divBdr>
                                      <w:divsChild>
                                        <w:div w:id="1756899832">
                                          <w:marLeft w:val="0"/>
                                          <w:marRight w:val="0"/>
                                          <w:marTop w:val="0"/>
                                          <w:marBottom w:val="0"/>
                                          <w:divBdr>
                                            <w:top w:val="none" w:sz="0" w:space="0" w:color="auto"/>
                                            <w:left w:val="none" w:sz="0" w:space="0" w:color="auto"/>
                                            <w:bottom w:val="none" w:sz="0" w:space="0" w:color="auto"/>
                                            <w:right w:val="none" w:sz="0" w:space="0" w:color="auto"/>
                                          </w:divBdr>
                                          <w:divsChild>
                                            <w:div w:id="1788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6765436">
      <w:bodyDiv w:val="1"/>
      <w:marLeft w:val="0"/>
      <w:marRight w:val="0"/>
      <w:marTop w:val="0"/>
      <w:marBottom w:val="0"/>
      <w:divBdr>
        <w:top w:val="none" w:sz="0" w:space="0" w:color="auto"/>
        <w:left w:val="none" w:sz="0" w:space="0" w:color="auto"/>
        <w:bottom w:val="none" w:sz="0" w:space="0" w:color="auto"/>
        <w:right w:val="none" w:sz="0" w:space="0" w:color="auto"/>
      </w:divBdr>
      <w:divsChild>
        <w:div w:id="1644192629">
          <w:marLeft w:val="0"/>
          <w:marRight w:val="0"/>
          <w:marTop w:val="0"/>
          <w:marBottom w:val="0"/>
          <w:divBdr>
            <w:top w:val="none" w:sz="0" w:space="0" w:color="auto"/>
            <w:left w:val="none" w:sz="0" w:space="0" w:color="auto"/>
            <w:bottom w:val="none" w:sz="0" w:space="0" w:color="auto"/>
            <w:right w:val="none" w:sz="0" w:space="0" w:color="auto"/>
          </w:divBdr>
          <w:divsChild>
            <w:div w:id="2126537991">
              <w:marLeft w:val="0"/>
              <w:marRight w:val="0"/>
              <w:marTop w:val="0"/>
              <w:marBottom w:val="0"/>
              <w:divBdr>
                <w:top w:val="none" w:sz="0" w:space="0" w:color="auto"/>
                <w:left w:val="none" w:sz="0" w:space="0" w:color="auto"/>
                <w:bottom w:val="none" w:sz="0" w:space="0" w:color="auto"/>
                <w:right w:val="none" w:sz="0" w:space="0" w:color="auto"/>
              </w:divBdr>
              <w:divsChild>
                <w:div w:id="1184900095">
                  <w:marLeft w:val="0"/>
                  <w:marRight w:val="0"/>
                  <w:marTop w:val="0"/>
                  <w:marBottom w:val="0"/>
                  <w:divBdr>
                    <w:top w:val="none" w:sz="0" w:space="0" w:color="auto"/>
                    <w:left w:val="none" w:sz="0" w:space="0" w:color="auto"/>
                    <w:bottom w:val="none" w:sz="0" w:space="0" w:color="auto"/>
                    <w:right w:val="none" w:sz="0" w:space="0" w:color="auto"/>
                  </w:divBdr>
                  <w:divsChild>
                    <w:div w:id="750084905">
                      <w:marLeft w:val="0"/>
                      <w:marRight w:val="0"/>
                      <w:marTop w:val="0"/>
                      <w:marBottom w:val="0"/>
                      <w:divBdr>
                        <w:top w:val="none" w:sz="0" w:space="0" w:color="auto"/>
                        <w:left w:val="none" w:sz="0" w:space="0" w:color="auto"/>
                        <w:bottom w:val="none" w:sz="0" w:space="0" w:color="auto"/>
                        <w:right w:val="none" w:sz="0" w:space="0" w:color="auto"/>
                      </w:divBdr>
                      <w:divsChild>
                        <w:div w:id="479003983">
                          <w:marLeft w:val="0"/>
                          <w:marRight w:val="0"/>
                          <w:marTop w:val="0"/>
                          <w:marBottom w:val="0"/>
                          <w:divBdr>
                            <w:top w:val="none" w:sz="0" w:space="0" w:color="auto"/>
                            <w:left w:val="none" w:sz="0" w:space="0" w:color="auto"/>
                            <w:bottom w:val="none" w:sz="0" w:space="0" w:color="auto"/>
                            <w:right w:val="none" w:sz="0" w:space="0" w:color="auto"/>
                          </w:divBdr>
                          <w:divsChild>
                            <w:div w:id="669912336">
                              <w:marLeft w:val="0"/>
                              <w:marRight w:val="0"/>
                              <w:marTop w:val="0"/>
                              <w:marBottom w:val="0"/>
                              <w:divBdr>
                                <w:top w:val="none" w:sz="0" w:space="0" w:color="auto"/>
                                <w:left w:val="none" w:sz="0" w:space="0" w:color="auto"/>
                                <w:bottom w:val="none" w:sz="0" w:space="0" w:color="auto"/>
                                <w:right w:val="none" w:sz="0" w:space="0" w:color="auto"/>
                              </w:divBdr>
                              <w:divsChild>
                                <w:div w:id="1937444029">
                                  <w:marLeft w:val="0"/>
                                  <w:marRight w:val="0"/>
                                  <w:marTop w:val="150"/>
                                  <w:marBottom w:val="0"/>
                                  <w:divBdr>
                                    <w:top w:val="none" w:sz="0" w:space="0" w:color="auto"/>
                                    <w:left w:val="none" w:sz="0" w:space="0" w:color="auto"/>
                                    <w:bottom w:val="none" w:sz="0" w:space="0" w:color="auto"/>
                                    <w:right w:val="none" w:sz="0" w:space="0" w:color="auto"/>
                                  </w:divBdr>
                                  <w:divsChild>
                                    <w:div w:id="68113854">
                                      <w:marLeft w:val="0"/>
                                      <w:marRight w:val="0"/>
                                      <w:marTop w:val="0"/>
                                      <w:marBottom w:val="0"/>
                                      <w:divBdr>
                                        <w:top w:val="none" w:sz="0" w:space="0" w:color="auto"/>
                                        <w:left w:val="none" w:sz="0" w:space="0" w:color="auto"/>
                                        <w:bottom w:val="none" w:sz="0" w:space="0" w:color="auto"/>
                                        <w:right w:val="none" w:sz="0" w:space="0" w:color="auto"/>
                                      </w:divBdr>
                                      <w:divsChild>
                                        <w:div w:id="1266426025">
                                          <w:marLeft w:val="0"/>
                                          <w:marRight w:val="0"/>
                                          <w:marTop w:val="0"/>
                                          <w:marBottom w:val="0"/>
                                          <w:divBdr>
                                            <w:top w:val="none" w:sz="0" w:space="0" w:color="auto"/>
                                            <w:left w:val="none" w:sz="0" w:space="0" w:color="auto"/>
                                            <w:bottom w:val="none" w:sz="0" w:space="0" w:color="auto"/>
                                            <w:right w:val="none" w:sz="0" w:space="0" w:color="auto"/>
                                          </w:divBdr>
                                          <w:divsChild>
                                            <w:div w:id="8735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715848">
      <w:bodyDiv w:val="1"/>
      <w:marLeft w:val="0"/>
      <w:marRight w:val="0"/>
      <w:marTop w:val="0"/>
      <w:marBottom w:val="0"/>
      <w:divBdr>
        <w:top w:val="none" w:sz="0" w:space="0" w:color="auto"/>
        <w:left w:val="none" w:sz="0" w:space="0" w:color="auto"/>
        <w:bottom w:val="none" w:sz="0" w:space="0" w:color="auto"/>
        <w:right w:val="none" w:sz="0" w:space="0" w:color="auto"/>
      </w:divBdr>
      <w:divsChild>
        <w:div w:id="286934829">
          <w:marLeft w:val="0"/>
          <w:marRight w:val="0"/>
          <w:marTop w:val="150"/>
          <w:marBottom w:val="0"/>
          <w:divBdr>
            <w:top w:val="none" w:sz="0" w:space="0" w:color="auto"/>
            <w:left w:val="none" w:sz="0" w:space="0" w:color="auto"/>
            <w:bottom w:val="none" w:sz="0" w:space="0" w:color="auto"/>
            <w:right w:val="none" w:sz="0" w:space="0" w:color="auto"/>
          </w:divBdr>
          <w:divsChild>
            <w:div w:id="482502774">
              <w:marLeft w:val="0"/>
              <w:marRight w:val="0"/>
              <w:marTop w:val="180"/>
              <w:marBottom w:val="0"/>
              <w:divBdr>
                <w:top w:val="none" w:sz="0" w:space="0" w:color="auto"/>
                <w:left w:val="none" w:sz="0" w:space="0" w:color="auto"/>
                <w:bottom w:val="none" w:sz="0" w:space="0" w:color="auto"/>
                <w:right w:val="none" w:sz="0" w:space="0" w:color="auto"/>
              </w:divBdr>
              <w:divsChild>
                <w:div w:id="602156046">
                  <w:marLeft w:val="0"/>
                  <w:marRight w:val="0"/>
                  <w:marTop w:val="0"/>
                  <w:marBottom w:val="0"/>
                  <w:divBdr>
                    <w:top w:val="none" w:sz="0" w:space="0" w:color="auto"/>
                    <w:left w:val="none" w:sz="0" w:space="0" w:color="auto"/>
                    <w:bottom w:val="none" w:sz="0" w:space="0" w:color="auto"/>
                    <w:right w:val="none" w:sz="0" w:space="0" w:color="auto"/>
                  </w:divBdr>
                  <w:divsChild>
                    <w:div w:id="4756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ms.eu.com" TargetMode="Externa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hyperlink" Target="http://www.tms.eu.com" TargetMode="External"/><Relationship Id="rId4" Type="http://schemas.openxmlformats.org/officeDocument/2006/relationships/webSettings" Target="webSettings.xml"/><Relationship Id="rId9" Type="http://schemas.openxmlformats.org/officeDocument/2006/relationships/hyperlink" Target="mailto:geoff.crocker@3wa.co.u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Geoff\My%20Documents\Geoff's\Crisi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Geoff\My%20Documents\Geoff's\Crisis.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Geoff\My%20Documents\Geoff's\Crisi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en-US"/>
            </a:pPr>
            <a:r>
              <a:rPr lang="en-US" sz="1100"/>
              <a:t>UK</a:t>
            </a:r>
            <a:r>
              <a:rPr lang="en-US" sz="1100" baseline="0"/>
              <a:t> GDP, consumption,income and borrowing 1999-2007</a:t>
            </a:r>
          </a:p>
          <a:p>
            <a:pPr>
              <a:defRPr lang="en-US"/>
            </a:pPr>
            <a:r>
              <a:rPr lang="en-US" sz="800" baseline="0"/>
              <a:t>source ONS, National Income Blue Book 2008</a:t>
            </a:r>
            <a:endParaRPr lang="en-US" sz="800"/>
          </a:p>
        </c:rich>
      </c:tx>
    </c:title>
    <c:plotArea>
      <c:layout>
        <c:manualLayout>
          <c:layoutTarget val="inner"/>
          <c:xMode val="edge"/>
          <c:yMode val="edge"/>
          <c:x val="0.15823162729658788"/>
          <c:y val="0.15476851851851853"/>
          <c:w val="0.53065726159230098"/>
          <c:h val="0.7943055555555556"/>
        </c:manualLayout>
      </c:layout>
      <c:lineChart>
        <c:grouping val="standard"/>
        <c:ser>
          <c:idx val="0"/>
          <c:order val="0"/>
          <c:tx>
            <c:strRef>
              <c:f>Sheet1!$A$6</c:f>
              <c:strCache>
                <c:ptCount val="1"/>
                <c:pt idx="0">
                  <c:v>GDP £m 2003 prices</c:v>
                </c:pt>
              </c:strCache>
            </c:strRef>
          </c:tx>
          <c:marker>
            <c:symbol val="none"/>
          </c:marker>
          <c:cat>
            <c:numRef>
              <c:f>Sheet1!$K$4:$S$4</c:f>
              <c:numCache>
                <c:formatCode>General</c:formatCode>
                <c:ptCount val="9"/>
                <c:pt idx="0">
                  <c:v>1999</c:v>
                </c:pt>
                <c:pt idx="1">
                  <c:v>2000</c:v>
                </c:pt>
                <c:pt idx="2">
                  <c:v>2001</c:v>
                </c:pt>
                <c:pt idx="3">
                  <c:v>2002</c:v>
                </c:pt>
                <c:pt idx="4">
                  <c:v>2003</c:v>
                </c:pt>
                <c:pt idx="5">
                  <c:v>2004</c:v>
                </c:pt>
                <c:pt idx="6">
                  <c:v>2005</c:v>
                </c:pt>
                <c:pt idx="7">
                  <c:v>2006</c:v>
                </c:pt>
                <c:pt idx="8">
                  <c:v>2007</c:v>
                </c:pt>
              </c:numCache>
            </c:numRef>
          </c:cat>
          <c:val>
            <c:numRef>
              <c:f>Sheet1!$K$6:$S$6</c:f>
              <c:numCache>
                <c:formatCode>General</c:formatCode>
                <c:ptCount val="9"/>
                <c:pt idx="0">
                  <c:v>1019735</c:v>
                </c:pt>
                <c:pt idx="1">
                  <c:v>1059658</c:v>
                </c:pt>
                <c:pt idx="2">
                  <c:v>1085745</c:v>
                </c:pt>
                <c:pt idx="3">
                  <c:v>1108508</c:v>
                </c:pt>
                <c:pt idx="4">
                  <c:v>1139746</c:v>
                </c:pt>
                <c:pt idx="5">
                  <c:v>1171178</c:v>
                </c:pt>
                <c:pt idx="6">
                  <c:v>1195276</c:v>
                </c:pt>
                <c:pt idx="7">
                  <c:v>1229196</c:v>
                </c:pt>
                <c:pt idx="8">
                  <c:v>1266680</c:v>
                </c:pt>
              </c:numCache>
            </c:numRef>
          </c:val>
        </c:ser>
        <c:ser>
          <c:idx val="1"/>
          <c:order val="1"/>
          <c:tx>
            <c:strRef>
              <c:f>Sheet1!$A$7</c:f>
              <c:strCache>
                <c:ptCount val="1"/>
                <c:pt idx="0">
                  <c:v>consumption £m 2003 prices</c:v>
                </c:pt>
              </c:strCache>
            </c:strRef>
          </c:tx>
          <c:marker>
            <c:symbol val="none"/>
          </c:marker>
          <c:cat>
            <c:numRef>
              <c:f>Sheet1!$K$4:$S$4</c:f>
              <c:numCache>
                <c:formatCode>General</c:formatCode>
                <c:ptCount val="9"/>
                <c:pt idx="0">
                  <c:v>1999</c:v>
                </c:pt>
                <c:pt idx="1">
                  <c:v>2000</c:v>
                </c:pt>
                <c:pt idx="2">
                  <c:v>2001</c:v>
                </c:pt>
                <c:pt idx="3">
                  <c:v>2002</c:v>
                </c:pt>
                <c:pt idx="4">
                  <c:v>2003</c:v>
                </c:pt>
                <c:pt idx="5">
                  <c:v>2004</c:v>
                </c:pt>
                <c:pt idx="6">
                  <c:v>2005</c:v>
                </c:pt>
                <c:pt idx="7">
                  <c:v>2006</c:v>
                </c:pt>
                <c:pt idx="8">
                  <c:v>2007</c:v>
                </c:pt>
              </c:numCache>
            </c:numRef>
          </c:cat>
          <c:val>
            <c:numRef>
              <c:f>Sheet1!$K$7:$S$7</c:f>
              <c:numCache>
                <c:formatCode>General</c:formatCode>
                <c:ptCount val="9"/>
                <c:pt idx="0">
                  <c:v>850491</c:v>
                </c:pt>
                <c:pt idx="1">
                  <c:v>887499</c:v>
                </c:pt>
                <c:pt idx="2">
                  <c:v>913470</c:v>
                </c:pt>
                <c:pt idx="3">
                  <c:v>945687</c:v>
                </c:pt>
                <c:pt idx="4">
                  <c:v>975095</c:v>
                </c:pt>
                <c:pt idx="5">
                  <c:v>1004727</c:v>
                </c:pt>
                <c:pt idx="6">
                  <c:v>1023350</c:v>
                </c:pt>
                <c:pt idx="7">
                  <c:v>1043443</c:v>
                </c:pt>
                <c:pt idx="8">
                  <c:v>1071632</c:v>
                </c:pt>
              </c:numCache>
            </c:numRef>
          </c:val>
        </c:ser>
        <c:ser>
          <c:idx val="2"/>
          <c:order val="2"/>
          <c:tx>
            <c:strRef>
              <c:f>Sheet1!$A$8</c:f>
              <c:strCache>
                <c:ptCount val="1"/>
                <c:pt idx="0">
                  <c:v>household disposable income
£m 2003 prices</c:v>
                </c:pt>
              </c:strCache>
            </c:strRef>
          </c:tx>
          <c:marker>
            <c:symbol val="none"/>
          </c:marker>
          <c:cat>
            <c:numRef>
              <c:f>Sheet1!$K$4:$S$4</c:f>
              <c:numCache>
                <c:formatCode>General</c:formatCode>
                <c:ptCount val="9"/>
                <c:pt idx="0">
                  <c:v>1999</c:v>
                </c:pt>
                <c:pt idx="1">
                  <c:v>2000</c:v>
                </c:pt>
                <c:pt idx="2">
                  <c:v>2001</c:v>
                </c:pt>
                <c:pt idx="3">
                  <c:v>2002</c:v>
                </c:pt>
                <c:pt idx="4">
                  <c:v>2003</c:v>
                </c:pt>
                <c:pt idx="5">
                  <c:v>2004</c:v>
                </c:pt>
                <c:pt idx="6">
                  <c:v>2005</c:v>
                </c:pt>
                <c:pt idx="7">
                  <c:v>2006</c:v>
                </c:pt>
                <c:pt idx="8">
                  <c:v>2007</c:v>
                </c:pt>
              </c:numCache>
            </c:numRef>
          </c:cat>
          <c:val>
            <c:numRef>
              <c:f>Sheet1!$K$8:$S$8</c:f>
              <c:numCache>
                <c:formatCode>General</c:formatCode>
                <c:ptCount val="9"/>
                <c:pt idx="0">
                  <c:v>665374</c:v>
                </c:pt>
                <c:pt idx="1">
                  <c:v>693322</c:v>
                </c:pt>
                <c:pt idx="2">
                  <c:v>724114</c:v>
                </c:pt>
                <c:pt idx="3">
                  <c:v>738900</c:v>
                </c:pt>
                <c:pt idx="4">
                  <c:v>760916</c:v>
                </c:pt>
                <c:pt idx="5">
                  <c:v>767096</c:v>
                </c:pt>
                <c:pt idx="6">
                  <c:v>788338</c:v>
                </c:pt>
                <c:pt idx="7">
                  <c:v>799898</c:v>
                </c:pt>
                <c:pt idx="8">
                  <c:v>800676</c:v>
                </c:pt>
              </c:numCache>
            </c:numRef>
          </c:val>
        </c:ser>
        <c:ser>
          <c:idx val="3"/>
          <c:order val="3"/>
          <c:tx>
            <c:strRef>
              <c:f>Sheet1!$A$10</c:f>
              <c:strCache>
                <c:ptCount val="1"/>
                <c:pt idx="0">
                  <c:v>household borrowing, market prices</c:v>
                </c:pt>
              </c:strCache>
            </c:strRef>
          </c:tx>
          <c:marker>
            <c:symbol val="none"/>
          </c:marker>
          <c:cat>
            <c:numRef>
              <c:f>Sheet1!$K$4:$S$4</c:f>
              <c:numCache>
                <c:formatCode>General</c:formatCode>
                <c:ptCount val="9"/>
                <c:pt idx="0">
                  <c:v>1999</c:v>
                </c:pt>
                <c:pt idx="1">
                  <c:v>2000</c:v>
                </c:pt>
                <c:pt idx="2">
                  <c:v>2001</c:v>
                </c:pt>
                <c:pt idx="3">
                  <c:v>2002</c:v>
                </c:pt>
                <c:pt idx="4">
                  <c:v>2003</c:v>
                </c:pt>
                <c:pt idx="5">
                  <c:v>2004</c:v>
                </c:pt>
                <c:pt idx="6">
                  <c:v>2005</c:v>
                </c:pt>
                <c:pt idx="7">
                  <c:v>2006</c:v>
                </c:pt>
                <c:pt idx="8">
                  <c:v>2007</c:v>
                </c:pt>
              </c:numCache>
            </c:numRef>
          </c:cat>
          <c:val>
            <c:numRef>
              <c:f>Sheet1!$K$10:$S$10</c:f>
              <c:numCache>
                <c:formatCode>General</c:formatCode>
                <c:ptCount val="9"/>
                <c:pt idx="0">
                  <c:v>4051</c:v>
                </c:pt>
                <c:pt idx="1">
                  <c:v>6436</c:v>
                </c:pt>
                <c:pt idx="2">
                  <c:v>-1044</c:v>
                </c:pt>
                <c:pt idx="3">
                  <c:v>12477</c:v>
                </c:pt>
                <c:pt idx="4">
                  <c:v>12091</c:v>
                </c:pt>
                <c:pt idx="5">
                  <c:v>29533</c:v>
                </c:pt>
                <c:pt idx="6">
                  <c:v>17731</c:v>
                </c:pt>
                <c:pt idx="7">
                  <c:v>33643</c:v>
                </c:pt>
                <c:pt idx="8">
                  <c:v>55094</c:v>
                </c:pt>
              </c:numCache>
            </c:numRef>
          </c:val>
        </c:ser>
        <c:marker val="1"/>
        <c:axId val="51523584"/>
        <c:axId val="51525120"/>
      </c:lineChart>
      <c:catAx>
        <c:axId val="51523584"/>
        <c:scaling>
          <c:orientation val="minMax"/>
        </c:scaling>
        <c:axPos val="b"/>
        <c:numFmt formatCode="General" sourceLinked="1"/>
        <c:tickLblPos val="nextTo"/>
        <c:txPr>
          <a:bodyPr/>
          <a:lstStyle/>
          <a:p>
            <a:pPr>
              <a:defRPr lang="en-US" sz="800" b="1"/>
            </a:pPr>
            <a:endParaRPr lang="en-US"/>
          </a:p>
        </c:txPr>
        <c:crossAx val="51525120"/>
        <c:crosses val="autoZero"/>
        <c:auto val="1"/>
        <c:lblAlgn val="ctr"/>
        <c:lblOffset val="100"/>
      </c:catAx>
      <c:valAx>
        <c:axId val="51525120"/>
        <c:scaling>
          <c:orientation val="minMax"/>
        </c:scaling>
        <c:axPos val="l"/>
        <c:majorGridlines/>
        <c:numFmt formatCode="General" sourceLinked="1"/>
        <c:tickLblPos val="nextTo"/>
        <c:txPr>
          <a:bodyPr/>
          <a:lstStyle/>
          <a:p>
            <a:pPr>
              <a:defRPr lang="en-US" sz="800"/>
            </a:pPr>
            <a:endParaRPr lang="en-US"/>
          </a:p>
        </c:txPr>
        <c:crossAx val="51523584"/>
        <c:crosses val="autoZero"/>
        <c:crossBetween val="between"/>
        <c:dispUnits>
          <c:builtInUnit val="thousands"/>
          <c:dispUnitsLbl>
            <c:tx>
              <c:rich>
                <a:bodyPr/>
                <a:lstStyle/>
                <a:p>
                  <a:pPr>
                    <a:defRPr lang="en-US"/>
                  </a:pPr>
                  <a:r>
                    <a:rPr lang="en-US"/>
                    <a:t>£</a:t>
                  </a:r>
                  <a:r>
                    <a:rPr lang="en-US" baseline="0"/>
                    <a:t> billions</a:t>
                  </a:r>
                  <a:endParaRPr lang="en-US"/>
                </a:p>
              </c:rich>
            </c:tx>
          </c:dispUnitsLbl>
        </c:dispUnits>
      </c:valAx>
    </c:plotArea>
    <c:legend>
      <c:legendPos val="r"/>
      <c:layout>
        <c:manualLayout>
          <c:xMode val="edge"/>
          <c:yMode val="edge"/>
          <c:x val="0.7055555555555556"/>
          <c:y val="0.21856955380577484"/>
          <c:w val="0.27222222222222231"/>
          <c:h val="0.64818460192475935"/>
        </c:manualLayout>
      </c:layout>
      <c:txPr>
        <a:bodyPr/>
        <a:lstStyle/>
        <a:p>
          <a:pPr>
            <a:defRPr lang="en-US" sz="9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en-US"/>
            </a:pPr>
            <a:r>
              <a:rPr lang="en-US" sz="1100"/>
              <a:t>UK</a:t>
            </a:r>
            <a:r>
              <a:rPr lang="en-US" sz="1100" baseline="0"/>
              <a:t> consumption, income and borrowing 1999-2007</a:t>
            </a:r>
          </a:p>
          <a:p>
            <a:pPr>
              <a:defRPr lang="en-US"/>
            </a:pPr>
            <a:r>
              <a:rPr lang="en-US" sz="800" baseline="0"/>
              <a:t>source ONS, National Income Blue Book 2008</a:t>
            </a:r>
            <a:endParaRPr lang="en-US" sz="800"/>
          </a:p>
        </c:rich>
      </c:tx>
    </c:title>
    <c:plotArea>
      <c:layout>
        <c:manualLayout>
          <c:layoutTarget val="inner"/>
          <c:xMode val="edge"/>
          <c:yMode val="edge"/>
          <c:x val="0.15490507436570441"/>
          <c:y val="0.20045166229221348"/>
          <c:w val="0.53120603674540678"/>
          <c:h val="0.74814778361038481"/>
        </c:manualLayout>
      </c:layout>
      <c:barChart>
        <c:barDir val="col"/>
        <c:grouping val="stacked"/>
        <c:ser>
          <c:idx val="0"/>
          <c:order val="0"/>
          <c:tx>
            <c:strRef>
              <c:f>Sheet1!$A$8</c:f>
              <c:strCache>
                <c:ptCount val="1"/>
                <c:pt idx="0">
                  <c:v>household disposable income
£m 2003 prices</c:v>
                </c:pt>
              </c:strCache>
            </c:strRef>
          </c:tx>
          <c:cat>
            <c:numRef>
              <c:f>Sheet1!$K$4:$S$4</c:f>
              <c:numCache>
                <c:formatCode>General</c:formatCode>
                <c:ptCount val="9"/>
                <c:pt idx="0">
                  <c:v>1999</c:v>
                </c:pt>
                <c:pt idx="1">
                  <c:v>2000</c:v>
                </c:pt>
                <c:pt idx="2">
                  <c:v>2001</c:v>
                </c:pt>
                <c:pt idx="3">
                  <c:v>2002</c:v>
                </c:pt>
                <c:pt idx="4">
                  <c:v>2003</c:v>
                </c:pt>
                <c:pt idx="5">
                  <c:v>2004</c:v>
                </c:pt>
                <c:pt idx="6">
                  <c:v>2005</c:v>
                </c:pt>
                <c:pt idx="7">
                  <c:v>2006</c:v>
                </c:pt>
                <c:pt idx="8">
                  <c:v>2007</c:v>
                </c:pt>
              </c:numCache>
            </c:numRef>
          </c:cat>
          <c:val>
            <c:numRef>
              <c:f>Sheet1!$K$8:$S$8</c:f>
              <c:numCache>
                <c:formatCode>General</c:formatCode>
                <c:ptCount val="9"/>
                <c:pt idx="0">
                  <c:v>665374</c:v>
                </c:pt>
                <c:pt idx="1">
                  <c:v>693322</c:v>
                </c:pt>
                <c:pt idx="2">
                  <c:v>724114</c:v>
                </c:pt>
                <c:pt idx="3">
                  <c:v>738900</c:v>
                </c:pt>
                <c:pt idx="4">
                  <c:v>760916</c:v>
                </c:pt>
                <c:pt idx="5">
                  <c:v>767096</c:v>
                </c:pt>
                <c:pt idx="6">
                  <c:v>788338</c:v>
                </c:pt>
                <c:pt idx="7">
                  <c:v>799898</c:v>
                </c:pt>
                <c:pt idx="8">
                  <c:v>800676</c:v>
                </c:pt>
              </c:numCache>
            </c:numRef>
          </c:val>
        </c:ser>
        <c:ser>
          <c:idx val="1"/>
          <c:order val="1"/>
          <c:tx>
            <c:strRef>
              <c:f>Sheet1!$A$10</c:f>
              <c:strCache>
                <c:ptCount val="1"/>
                <c:pt idx="0">
                  <c:v>household borrowing, market prices</c:v>
                </c:pt>
              </c:strCache>
            </c:strRef>
          </c:tx>
          <c:cat>
            <c:numRef>
              <c:f>Sheet1!$K$4:$S$4</c:f>
              <c:numCache>
                <c:formatCode>General</c:formatCode>
                <c:ptCount val="9"/>
                <c:pt idx="0">
                  <c:v>1999</c:v>
                </c:pt>
                <c:pt idx="1">
                  <c:v>2000</c:v>
                </c:pt>
                <c:pt idx="2">
                  <c:v>2001</c:v>
                </c:pt>
                <c:pt idx="3">
                  <c:v>2002</c:v>
                </c:pt>
                <c:pt idx="4">
                  <c:v>2003</c:v>
                </c:pt>
                <c:pt idx="5">
                  <c:v>2004</c:v>
                </c:pt>
                <c:pt idx="6">
                  <c:v>2005</c:v>
                </c:pt>
                <c:pt idx="7">
                  <c:v>2006</c:v>
                </c:pt>
                <c:pt idx="8">
                  <c:v>2007</c:v>
                </c:pt>
              </c:numCache>
            </c:numRef>
          </c:cat>
          <c:val>
            <c:numRef>
              <c:f>Sheet1!$K$10:$S$10</c:f>
              <c:numCache>
                <c:formatCode>General</c:formatCode>
                <c:ptCount val="9"/>
                <c:pt idx="0">
                  <c:v>4051</c:v>
                </c:pt>
                <c:pt idx="1">
                  <c:v>6436</c:v>
                </c:pt>
                <c:pt idx="2">
                  <c:v>-1044</c:v>
                </c:pt>
                <c:pt idx="3">
                  <c:v>12477</c:v>
                </c:pt>
                <c:pt idx="4">
                  <c:v>12091</c:v>
                </c:pt>
                <c:pt idx="5">
                  <c:v>29533</c:v>
                </c:pt>
                <c:pt idx="6">
                  <c:v>17731</c:v>
                </c:pt>
                <c:pt idx="7">
                  <c:v>33643</c:v>
                </c:pt>
                <c:pt idx="8">
                  <c:v>55094</c:v>
                </c:pt>
              </c:numCache>
            </c:numRef>
          </c:val>
        </c:ser>
        <c:ser>
          <c:idx val="2"/>
          <c:order val="2"/>
          <c:tx>
            <c:strRef>
              <c:f>Sheet1!$A$11</c:f>
              <c:strCache>
                <c:ptCount val="1"/>
                <c:pt idx="0">
                  <c:v>other income (pensions, dividends?) £m 2003 prices</c:v>
                </c:pt>
              </c:strCache>
            </c:strRef>
          </c:tx>
          <c:cat>
            <c:numRef>
              <c:f>Sheet1!$K$4:$S$4</c:f>
              <c:numCache>
                <c:formatCode>General</c:formatCode>
                <c:ptCount val="9"/>
                <c:pt idx="0">
                  <c:v>1999</c:v>
                </c:pt>
                <c:pt idx="1">
                  <c:v>2000</c:v>
                </c:pt>
                <c:pt idx="2">
                  <c:v>2001</c:v>
                </c:pt>
                <c:pt idx="3">
                  <c:v>2002</c:v>
                </c:pt>
                <c:pt idx="4">
                  <c:v>2003</c:v>
                </c:pt>
                <c:pt idx="5">
                  <c:v>2004</c:v>
                </c:pt>
                <c:pt idx="6">
                  <c:v>2005</c:v>
                </c:pt>
                <c:pt idx="7">
                  <c:v>2006</c:v>
                </c:pt>
                <c:pt idx="8">
                  <c:v>2007</c:v>
                </c:pt>
              </c:numCache>
            </c:numRef>
          </c:cat>
          <c:val>
            <c:numRef>
              <c:f>Sheet1!$K$11:$S$11</c:f>
              <c:numCache>
                <c:formatCode>General</c:formatCode>
                <c:ptCount val="9"/>
                <c:pt idx="0">
                  <c:v>181066</c:v>
                </c:pt>
                <c:pt idx="1">
                  <c:v>187741</c:v>
                </c:pt>
                <c:pt idx="2">
                  <c:v>190400</c:v>
                </c:pt>
                <c:pt idx="3">
                  <c:v>194310</c:v>
                </c:pt>
                <c:pt idx="4">
                  <c:v>202088</c:v>
                </c:pt>
                <c:pt idx="5">
                  <c:v>208098</c:v>
                </c:pt>
                <c:pt idx="6">
                  <c:v>217281</c:v>
                </c:pt>
                <c:pt idx="7">
                  <c:v>209902</c:v>
                </c:pt>
                <c:pt idx="8">
                  <c:v>215862</c:v>
                </c:pt>
              </c:numCache>
            </c:numRef>
          </c:val>
        </c:ser>
        <c:overlap val="100"/>
        <c:axId val="51563520"/>
        <c:axId val="51565312"/>
      </c:barChart>
      <c:catAx>
        <c:axId val="51563520"/>
        <c:scaling>
          <c:orientation val="minMax"/>
        </c:scaling>
        <c:axPos val="b"/>
        <c:numFmt formatCode="General" sourceLinked="1"/>
        <c:tickLblPos val="nextTo"/>
        <c:txPr>
          <a:bodyPr/>
          <a:lstStyle/>
          <a:p>
            <a:pPr>
              <a:defRPr lang="en-US" sz="800" b="1"/>
            </a:pPr>
            <a:endParaRPr lang="en-US"/>
          </a:p>
        </c:txPr>
        <c:crossAx val="51565312"/>
        <c:crosses val="autoZero"/>
        <c:auto val="1"/>
        <c:lblAlgn val="ctr"/>
        <c:lblOffset val="100"/>
      </c:catAx>
      <c:valAx>
        <c:axId val="51565312"/>
        <c:scaling>
          <c:orientation val="minMax"/>
        </c:scaling>
        <c:axPos val="l"/>
        <c:majorGridlines/>
        <c:numFmt formatCode="General" sourceLinked="1"/>
        <c:tickLblPos val="nextTo"/>
        <c:txPr>
          <a:bodyPr/>
          <a:lstStyle/>
          <a:p>
            <a:pPr>
              <a:defRPr lang="en-US" sz="800"/>
            </a:pPr>
            <a:endParaRPr lang="en-US"/>
          </a:p>
        </c:txPr>
        <c:crossAx val="51563520"/>
        <c:crosses val="autoZero"/>
        <c:crossBetween val="between"/>
        <c:dispUnits>
          <c:builtInUnit val="thousands"/>
          <c:dispUnitsLbl>
            <c:tx>
              <c:rich>
                <a:bodyPr/>
                <a:lstStyle/>
                <a:p>
                  <a:pPr>
                    <a:defRPr lang="en-US"/>
                  </a:pPr>
                  <a:r>
                    <a:rPr lang="en-US"/>
                    <a:t>£</a:t>
                  </a:r>
                  <a:r>
                    <a:rPr lang="en-US" baseline="0"/>
                    <a:t> billions</a:t>
                  </a:r>
                  <a:endParaRPr lang="en-US"/>
                </a:p>
              </c:rich>
            </c:tx>
          </c:dispUnitsLbl>
        </c:dispUnits>
      </c:valAx>
    </c:plotArea>
    <c:legend>
      <c:legendPos val="r"/>
      <c:layout>
        <c:manualLayout>
          <c:xMode val="edge"/>
          <c:yMode val="edge"/>
          <c:x val="0.68888888888889099"/>
          <c:y val="0.30774132400116538"/>
          <c:w val="0.28055555555555556"/>
          <c:h val="0.55208661417322835"/>
        </c:manualLayout>
      </c:layout>
      <c:txPr>
        <a:bodyPr/>
        <a:lstStyle/>
        <a:p>
          <a:pPr>
            <a:defRPr lang="en-US" sz="9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en-US"/>
            </a:pPr>
            <a:r>
              <a:rPr lang="en-US" sz="1200"/>
              <a:t>UK</a:t>
            </a:r>
            <a:r>
              <a:rPr lang="en-US" sz="1200" baseline="0"/>
              <a:t> household borrowing 1999-2007</a:t>
            </a:r>
          </a:p>
          <a:p>
            <a:pPr>
              <a:defRPr lang="en-US"/>
            </a:pPr>
            <a:r>
              <a:rPr lang="en-US" sz="800" baseline="0"/>
              <a:t>source ONS, National Income Blue Book 2008</a:t>
            </a:r>
            <a:endParaRPr lang="en-US" sz="800"/>
          </a:p>
        </c:rich>
      </c:tx>
    </c:title>
    <c:plotArea>
      <c:layout>
        <c:manualLayout>
          <c:layoutTarget val="inner"/>
          <c:xMode val="edge"/>
          <c:yMode val="edge"/>
          <c:x val="0.14250940507436652"/>
          <c:y val="0.20562518226888302"/>
          <c:w val="0.622157261592301"/>
          <c:h val="0.7434488918051938"/>
        </c:manualLayout>
      </c:layout>
      <c:lineChart>
        <c:grouping val="standard"/>
        <c:ser>
          <c:idx val="0"/>
          <c:order val="0"/>
          <c:tx>
            <c:strRef>
              <c:f>Sheet1!$A$10</c:f>
              <c:strCache>
                <c:ptCount val="1"/>
                <c:pt idx="0">
                  <c:v>household borrowing, market prices</c:v>
                </c:pt>
              </c:strCache>
            </c:strRef>
          </c:tx>
          <c:marker>
            <c:symbol val="none"/>
          </c:marker>
          <c:cat>
            <c:numRef>
              <c:f>Sheet1!$K$4:$S$4</c:f>
              <c:numCache>
                <c:formatCode>General</c:formatCode>
                <c:ptCount val="9"/>
                <c:pt idx="0">
                  <c:v>1999</c:v>
                </c:pt>
                <c:pt idx="1">
                  <c:v>2000</c:v>
                </c:pt>
                <c:pt idx="2">
                  <c:v>2001</c:v>
                </c:pt>
                <c:pt idx="3">
                  <c:v>2002</c:v>
                </c:pt>
                <c:pt idx="4">
                  <c:v>2003</c:v>
                </c:pt>
                <c:pt idx="5">
                  <c:v>2004</c:v>
                </c:pt>
                <c:pt idx="6">
                  <c:v>2005</c:v>
                </c:pt>
                <c:pt idx="7">
                  <c:v>2006</c:v>
                </c:pt>
                <c:pt idx="8">
                  <c:v>2007</c:v>
                </c:pt>
              </c:numCache>
            </c:numRef>
          </c:cat>
          <c:val>
            <c:numRef>
              <c:f>Sheet1!$K$10:$S$10</c:f>
              <c:numCache>
                <c:formatCode>General</c:formatCode>
                <c:ptCount val="9"/>
                <c:pt idx="0">
                  <c:v>4051</c:v>
                </c:pt>
                <c:pt idx="1">
                  <c:v>6436</c:v>
                </c:pt>
                <c:pt idx="2">
                  <c:v>-1044</c:v>
                </c:pt>
                <c:pt idx="3">
                  <c:v>12477</c:v>
                </c:pt>
                <c:pt idx="4">
                  <c:v>12091</c:v>
                </c:pt>
                <c:pt idx="5">
                  <c:v>29533</c:v>
                </c:pt>
                <c:pt idx="6">
                  <c:v>17731</c:v>
                </c:pt>
                <c:pt idx="7">
                  <c:v>33643</c:v>
                </c:pt>
                <c:pt idx="8">
                  <c:v>55094</c:v>
                </c:pt>
              </c:numCache>
            </c:numRef>
          </c:val>
        </c:ser>
        <c:marker val="1"/>
        <c:axId val="51622656"/>
        <c:axId val="51624192"/>
      </c:lineChart>
      <c:catAx>
        <c:axId val="51622656"/>
        <c:scaling>
          <c:orientation val="minMax"/>
        </c:scaling>
        <c:axPos val="b"/>
        <c:numFmt formatCode="General" sourceLinked="1"/>
        <c:tickLblPos val="nextTo"/>
        <c:txPr>
          <a:bodyPr/>
          <a:lstStyle/>
          <a:p>
            <a:pPr>
              <a:defRPr lang="en-US" sz="800" b="1"/>
            </a:pPr>
            <a:endParaRPr lang="en-US"/>
          </a:p>
        </c:txPr>
        <c:crossAx val="51624192"/>
        <c:crosses val="autoZero"/>
        <c:auto val="1"/>
        <c:lblAlgn val="ctr"/>
        <c:lblOffset val="100"/>
      </c:catAx>
      <c:valAx>
        <c:axId val="51624192"/>
        <c:scaling>
          <c:orientation val="minMax"/>
        </c:scaling>
        <c:axPos val="l"/>
        <c:majorGridlines/>
        <c:numFmt formatCode="General" sourceLinked="1"/>
        <c:tickLblPos val="nextTo"/>
        <c:txPr>
          <a:bodyPr/>
          <a:lstStyle/>
          <a:p>
            <a:pPr>
              <a:defRPr lang="en-US" sz="800"/>
            </a:pPr>
            <a:endParaRPr lang="en-US"/>
          </a:p>
        </c:txPr>
        <c:crossAx val="51622656"/>
        <c:crosses val="autoZero"/>
        <c:crossBetween val="between"/>
        <c:dispUnits>
          <c:builtInUnit val="thousands"/>
          <c:dispUnitsLbl>
            <c:tx>
              <c:rich>
                <a:bodyPr/>
                <a:lstStyle/>
                <a:p>
                  <a:pPr>
                    <a:defRPr lang="en-US"/>
                  </a:pPr>
                  <a:r>
                    <a:rPr lang="en-US"/>
                    <a:t>£</a:t>
                  </a:r>
                  <a:r>
                    <a:rPr lang="en-US" baseline="0"/>
                    <a:t> billions</a:t>
                  </a:r>
                  <a:endParaRPr lang="en-US"/>
                </a:p>
              </c:rich>
            </c:tx>
          </c:dispUnitsLbl>
        </c:dispUnits>
      </c:valAx>
    </c:plotArea>
    <c:legend>
      <c:legendPos val="r"/>
      <c:layout>
        <c:manualLayout>
          <c:xMode val="edge"/>
          <c:yMode val="edge"/>
          <c:x val="0.77855555555555778"/>
          <c:y val="0.51311278798483251"/>
          <c:w val="0.20477777777777778"/>
          <c:h val="0.23032516768737241"/>
        </c:manualLayout>
      </c:layout>
      <c:txPr>
        <a:bodyPr/>
        <a:lstStyle/>
        <a:p>
          <a:pPr>
            <a:defRPr lang="en-US" sz="9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6</Pages>
  <Words>1965</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66</cp:revision>
  <cp:lastPrinted>2011-12-02T18:35:00Z</cp:lastPrinted>
  <dcterms:created xsi:type="dcterms:W3CDTF">2011-12-02T11:36:00Z</dcterms:created>
  <dcterms:modified xsi:type="dcterms:W3CDTF">2012-02-13T19:32:00Z</dcterms:modified>
</cp:coreProperties>
</file>